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B8F9" w14:textId="29BA323D" w:rsidR="00C5415C" w:rsidRPr="006B6493" w:rsidRDefault="001C597D" w:rsidP="001C597D">
      <w:pPr>
        <w:pStyle w:val="FHWATitle"/>
        <w:rPr>
          <w:b/>
          <w:bCs/>
          <w:color w:val="385623" w:themeColor="accent6" w:themeShade="80"/>
        </w:rPr>
      </w:pPr>
      <w:r w:rsidRPr="006B6493">
        <w:rPr>
          <w:b/>
          <w:bCs/>
          <w:color w:val="385623" w:themeColor="accent6" w:themeShade="80"/>
        </w:rPr>
        <w:t>State Plan</w:t>
      </w:r>
      <w:r w:rsidR="00EB3B66">
        <w:rPr>
          <w:b/>
          <w:bCs/>
          <w:color w:val="385623" w:themeColor="accent6" w:themeShade="80"/>
        </w:rPr>
        <w:t>/State Plan Update</w:t>
      </w:r>
      <w:r w:rsidRPr="006B6493">
        <w:rPr>
          <w:b/>
          <w:bCs/>
          <w:color w:val="385623" w:themeColor="accent6" w:themeShade="80"/>
        </w:rPr>
        <w:t xml:space="preserve"> for Electric Vehicle</w:t>
      </w:r>
      <w:r w:rsidR="00655258">
        <w:rPr>
          <w:b/>
          <w:bCs/>
          <w:color w:val="385623" w:themeColor="accent6" w:themeShade="80"/>
        </w:rPr>
        <w:t xml:space="preserve"> (EV)</w:t>
      </w:r>
      <w:r w:rsidRPr="006B6493">
        <w:rPr>
          <w:b/>
          <w:bCs/>
          <w:color w:val="385623" w:themeColor="accent6" w:themeShade="80"/>
        </w:rPr>
        <w:t xml:space="preserve"> Infrastructure </w:t>
      </w:r>
      <w:r w:rsidR="005A60F8" w:rsidRPr="006B6493">
        <w:rPr>
          <w:b/>
          <w:bCs/>
          <w:color w:val="385623" w:themeColor="accent6" w:themeShade="80"/>
        </w:rPr>
        <w:t>Deployment [</w:t>
      </w:r>
      <w:r w:rsidRPr="00565C95">
        <w:rPr>
          <w:b/>
          <w:bCs/>
          <w:color w:val="auto"/>
        </w:rPr>
        <w:t>TEMPLATE</w:t>
      </w:r>
      <w:r w:rsidR="00977485" w:rsidRPr="00565C95">
        <w:rPr>
          <w:b/>
          <w:bCs/>
          <w:color w:val="auto"/>
        </w:rPr>
        <w:t>]</w:t>
      </w:r>
    </w:p>
    <w:p w14:paraId="75668154" w14:textId="73B18535" w:rsidR="00C5415C" w:rsidRDefault="00C5415C" w:rsidP="00BD76FC"/>
    <w:p w14:paraId="79421049" w14:textId="7677C18B" w:rsidR="00472DEA" w:rsidRPr="006B6493" w:rsidRDefault="00472DEA" w:rsidP="001806E2"/>
    <w:p w14:paraId="5CAE182A" w14:textId="06DE105B" w:rsidR="00977485" w:rsidRDefault="00073D3B" w:rsidP="00690B17">
      <w:pPr>
        <w:pStyle w:val="BodyText"/>
      </w:pPr>
      <w:r>
        <w:t>[</w:t>
      </w:r>
      <w:r w:rsidR="00472DEA" w:rsidRPr="00B305F0">
        <w:t xml:space="preserve">Note that </w:t>
      </w:r>
      <w:proofErr w:type="gramStart"/>
      <w:r w:rsidR="00B72C5C" w:rsidRPr="00B305F0">
        <w:t>in order to</w:t>
      </w:r>
      <w:proofErr w:type="gramEnd"/>
      <w:r w:rsidR="00B72C5C" w:rsidRPr="00B305F0">
        <w:t xml:space="preserve"> receive NEVI Formula Program funds </w:t>
      </w:r>
      <w:r w:rsidR="006135C6" w:rsidRPr="00B305F0">
        <w:t>e</w:t>
      </w:r>
      <w:r w:rsidR="00472DEA" w:rsidRPr="00B305F0">
        <w:t xml:space="preserve">ach State is required to </w:t>
      </w:r>
      <w:r w:rsidR="009E7F21" w:rsidRPr="00B305F0">
        <w:t xml:space="preserve">annually </w:t>
      </w:r>
      <w:r w:rsidR="00472DEA" w:rsidRPr="00B305F0">
        <w:t xml:space="preserve">develop an </w:t>
      </w:r>
      <w:r w:rsidR="005A2362" w:rsidRPr="00B305F0">
        <w:t>FHWA-</w:t>
      </w:r>
      <w:r w:rsidR="00F53EC1">
        <w:t>a</w:t>
      </w:r>
      <w:r w:rsidR="005A2362" w:rsidRPr="00B305F0">
        <w:t xml:space="preserve">pproved </w:t>
      </w:r>
      <w:r w:rsidR="00472DEA" w:rsidRPr="00B305F0">
        <w:t xml:space="preserve">EV Infrastructure Deployment </w:t>
      </w:r>
      <w:r w:rsidR="00F53EC1">
        <w:t>P</w:t>
      </w:r>
      <w:r w:rsidR="00472DEA" w:rsidRPr="00B305F0">
        <w:t>lan</w:t>
      </w:r>
      <w:r w:rsidR="00F53EC1">
        <w:t xml:space="preserve"> (Plan)</w:t>
      </w:r>
      <w:r w:rsidR="00472DEA" w:rsidRPr="00B305F0">
        <w:t xml:space="preserve"> that describes how the State intends to use the funds in accordance with th</w:t>
      </w:r>
      <w:r w:rsidR="006135C6" w:rsidRPr="00B305F0">
        <w:t>e NEVI Formula Program Guidance</w:t>
      </w:r>
      <w:r w:rsidR="003D07E7">
        <w:t xml:space="preserve"> and </w:t>
      </w:r>
      <w:r w:rsidR="006E096C">
        <w:t xml:space="preserve">the </w:t>
      </w:r>
      <w:r w:rsidR="003D07E7">
        <w:t>N</w:t>
      </w:r>
      <w:r w:rsidR="00D462D7">
        <w:t xml:space="preserve">ational </w:t>
      </w:r>
      <w:r w:rsidR="003D07E7">
        <w:t>E</w:t>
      </w:r>
      <w:r w:rsidR="00D462D7">
        <w:t xml:space="preserve">lectric </w:t>
      </w:r>
      <w:r w:rsidR="003D07E7">
        <w:t>V</w:t>
      </w:r>
      <w:r w:rsidR="00D462D7">
        <w:t xml:space="preserve">ehicle </w:t>
      </w:r>
      <w:r w:rsidR="003D07E7">
        <w:t>I</w:t>
      </w:r>
      <w:r w:rsidR="00D462D7">
        <w:t>nfrastructure</w:t>
      </w:r>
      <w:r w:rsidR="003D07E7">
        <w:t xml:space="preserve"> Standards and Requirements (23 CFR 680)</w:t>
      </w:r>
      <w:r w:rsidR="00472DEA" w:rsidRPr="00B305F0">
        <w:t>.</w:t>
      </w:r>
      <w:r w:rsidR="00B72C5C" w:rsidRPr="00B305F0">
        <w:t xml:space="preserve"> </w:t>
      </w:r>
      <w:r w:rsidR="0070450C">
        <w:t>FHWA recognizes that certain sections of the Plan may not change from year to year. As such, beginning with</w:t>
      </w:r>
      <w:r w:rsidR="009D0240">
        <w:t xml:space="preserve"> the</w:t>
      </w:r>
      <w:r w:rsidR="0070450C">
        <w:t xml:space="preserve"> FY 2024</w:t>
      </w:r>
      <w:r w:rsidR="009D0240">
        <w:t xml:space="preserve"> Plan (due on August 1, 2023)</w:t>
      </w:r>
      <w:r w:rsidR="0070450C">
        <w:t>, State DOTs are permitted to annually submit</w:t>
      </w:r>
      <w:r w:rsidR="00A16A20">
        <w:t xml:space="preserve"> an updated Plan that incorporates and identifies relevant additions and modifications made since the prior year’s Plan approval</w:t>
      </w:r>
      <w:r w:rsidR="0070450C">
        <w:t xml:space="preserve">. </w:t>
      </w:r>
    </w:p>
    <w:p w14:paraId="7F83DBE0" w14:textId="77777777" w:rsidR="00977485" w:rsidRDefault="00977485" w:rsidP="00690B17">
      <w:pPr>
        <w:pStyle w:val="BodyText"/>
      </w:pPr>
    </w:p>
    <w:p w14:paraId="5E2E7FE5" w14:textId="22BB0648" w:rsidR="006021EB" w:rsidRDefault="0070450C" w:rsidP="00690B17">
      <w:pPr>
        <w:pStyle w:val="BodyText"/>
      </w:pPr>
      <w:r>
        <w:t xml:space="preserve">States are encouraged to satisfy the annual plan submission requirement by submitting a more streamlined Plan </w:t>
      </w:r>
      <w:r w:rsidR="00A16A20">
        <w:t>u</w:t>
      </w:r>
      <w:r>
        <w:t xml:space="preserve">pdate, to the extent practicable.  However, if changes have been made corresponding to a particular section of the prior year’s Plan, the State DOT should </w:t>
      </w:r>
      <w:r w:rsidR="00A16A20">
        <w:t>clearly identify what has change</w:t>
      </w:r>
      <w:r w:rsidR="00ED12BC">
        <w:t>d</w:t>
      </w:r>
      <w:r>
        <w:t xml:space="preserve">. </w:t>
      </w:r>
      <w:r w:rsidR="00B72C5C" w:rsidRPr="00B305F0">
        <w:t>Refer to Section III</w:t>
      </w:r>
      <w:r w:rsidR="00786163">
        <w:t>-</w:t>
      </w:r>
      <w:r w:rsidR="00B72C5C" w:rsidRPr="00B305F0">
        <w:t xml:space="preserve">B of the Program Guidance for </w:t>
      </w:r>
      <w:r w:rsidR="008140B5" w:rsidRPr="00B305F0">
        <w:t>additional details</w:t>
      </w:r>
      <w:r w:rsidR="00B72C5C" w:rsidRPr="00B305F0">
        <w:t xml:space="preserve"> on each section below.</w:t>
      </w:r>
    </w:p>
    <w:p w14:paraId="03AEF0E2" w14:textId="77777777" w:rsidR="006021EB" w:rsidRDefault="006021EB" w:rsidP="00690B17">
      <w:pPr>
        <w:pStyle w:val="BodyText"/>
      </w:pPr>
    </w:p>
    <w:p w14:paraId="799BEF18" w14:textId="41A0D61A" w:rsidR="00472DEA" w:rsidRPr="00B305F0" w:rsidRDefault="006021EB" w:rsidP="00690B17">
      <w:pPr>
        <w:pStyle w:val="BodyText"/>
      </w:pPr>
      <w:r>
        <w:t xml:space="preserve">States are highly encouraged to use this template to </w:t>
      </w:r>
      <w:r w:rsidR="00394504">
        <w:t>develop</w:t>
      </w:r>
      <w:r>
        <w:t xml:space="preserve"> the</w:t>
      </w:r>
      <w:r w:rsidR="00394504">
        <w:t>ir</w:t>
      </w:r>
      <w:r w:rsidR="00CC06E5">
        <w:t xml:space="preserve"> updated</w:t>
      </w:r>
      <w:r>
        <w:t xml:space="preserve"> Plan</w:t>
      </w:r>
      <w:r w:rsidR="00394504">
        <w:t>s</w:t>
      </w:r>
      <w:r w:rsidR="00CC06E5">
        <w:t>, noting that FHWA would expect specific updates both to those sections marked “REQUIRED” and to those other sections where the State has noted a need to update/change content from the prior year’s approved Plan</w:t>
      </w:r>
      <w:r w:rsidR="00394504">
        <w:t>.</w:t>
      </w:r>
      <w:r w:rsidR="00073D3B">
        <w:t>]</w:t>
      </w:r>
      <w:r w:rsidR="00B72C5C" w:rsidRPr="00B305F0">
        <w:t xml:space="preserve"> </w:t>
      </w:r>
    </w:p>
    <w:p w14:paraId="6B48E99B" w14:textId="57C6F8E6" w:rsidR="00472DEA" w:rsidRPr="00880301" w:rsidRDefault="00472DEA" w:rsidP="001806E2"/>
    <w:p w14:paraId="0B59FDDE" w14:textId="455435E6" w:rsidR="004A56FC" w:rsidRPr="00B44681" w:rsidRDefault="004A56FC" w:rsidP="001C597D">
      <w:pPr>
        <w:pStyle w:val="FHWASubtitle"/>
        <w:rPr>
          <w:color w:val="385623" w:themeColor="accent6" w:themeShade="80"/>
          <w:sz w:val="24"/>
          <w:szCs w:val="24"/>
        </w:rPr>
      </w:pPr>
      <w:bookmarkStart w:id="0" w:name="_Toc90022558"/>
      <w:r w:rsidRPr="006B6493">
        <w:rPr>
          <w:color w:val="385623" w:themeColor="accent6" w:themeShade="80"/>
        </w:rPr>
        <w:t>Introduction</w:t>
      </w:r>
      <w:bookmarkEnd w:id="0"/>
      <w:r w:rsidR="00315671">
        <w:rPr>
          <w:color w:val="385623" w:themeColor="accent6" w:themeShade="80"/>
        </w:rPr>
        <w:t xml:space="preserve"> </w:t>
      </w:r>
    </w:p>
    <w:p w14:paraId="166CD8F6" w14:textId="659ED467" w:rsidR="004A56FC" w:rsidRPr="00B82049" w:rsidRDefault="00B82049" w:rsidP="00333137">
      <w:pPr>
        <w:rPr>
          <w:color w:val="FF0000"/>
        </w:rPr>
      </w:pPr>
      <w:r w:rsidRPr="00185B9B">
        <w:t>&lt;</w:t>
      </w:r>
      <w:r w:rsidR="00A8349B">
        <w:t>Insert</w:t>
      </w:r>
      <w:r w:rsidR="008140B5">
        <w:t xml:space="preserve"> an overview of </w:t>
      </w:r>
      <w:r w:rsidR="000F11D0">
        <w:t xml:space="preserve">updates to </w:t>
      </w:r>
      <w:r w:rsidR="008140B5">
        <w:t xml:space="preserve">the </w:t>
      </w:r>
      <w:r w:rsidR="00A8349B">
        <w:t>P</w:t>
      </w:r>
      <w:r w:rsidR="008140B5">
        <w:t xml:space="preserve">lan and </w:t>
      </w:r>
      <w:r w:rsidR="00A8349B">
        <w:t>P</w:t>
      </w:r>
      <w:r w:rsidR="008140B5">
        <w:t>lan development process</w:t>
      </w:r>
      <w:r w:rsidR="00A8349B">
        <w:t>.</w:t>
      </w:r>
      <w:r w:rsidR="008E4B39" w:rsidRPr="00185B9B">
        <w:t>&gt;</w:t>
      </w:r>
    </w:p>
    <w:p w14:paraId="62893764" w14:textId="30474FE4" w:rsidR="000934D2" w:rsidRDefault="000934D2" w:rsidP="00333137"/>
    <w:p w14:paraId="3CC5BD63" w14:textId="2DFAF450" w:rsidR="000934D2" w:rsidRPr="008F1F0A" w:rsidRDefault="002E04D4" w:rsidP="00B305F0">
      <w:pPr>
        <w:pStyle w:val="FHWAParagraghHeading"/>
        <w:ind w:left="720"/>
        <w:rPr>
          <w:color w:val="auto"/>
        </w:rPr>
      </w:pPr>
      <w:r>
        <w:t xml:space="preserve">Updates from Prior Plan </w:t>
      </w:r>
      <w:r w:rsidR="00A16A20">
        <w:rPr>
          <w:color w:val="auto"/>
        </w:rPr>
        <w:t xml:space="preserve">[REQUIRED - </w:t>
      </w:r>
      <w:r w:rsidR="00A16A20" w:rsidRPr="009E7761">
        <w:rPr>
          <w:color w:val="auto"/>
        </w:rPr>
        <w:t xml:space="preserve">Updated </w:t>
      </w:r>
      <w:r w:rsidR="00C67BCB">
        <w:rPr>
          <w:color w:val="auto"/>
        </w:rPr>
        <w:t>6/</w:t>
      </w:r>
      <w:r w:rsidR="0096757B">
        <w:rPr>
          <w:color w:val="auto"/>
        </w:rPr>
        <w:t>2</w:t>
      </w:r>
      <w:r w:rsidR="00C67BCB">
        <w:rPr>
          <w:color w:val="auto"/>
        </w:rPr>
        <w:t>/23</w:t>
      </w:r>
      <w:r w:rsidR="00A16A20">
        <w:rPr>
          <w:color w:val="auto"/>
        </w:rPr>
        <w:t>]</w:t>
      </w:r>
    </w:p>
    <w:p w14:paraId="3F6D4C8D" w14:textId="2542D622" w:rsidR="004D1AD8" w:rsidRDefault="008E4B39" w:rsidP="00B305F0">
      <w:pPr>
        <w:widowControl/>
        <w:autoSpaceDE/>
        <w:autoSpaceDN/>
        <w:spacing w:after="160" w:line="259" w:lineRule="auto"/>
        <w:ind w:left="720"/>
      </w:pPr>
      <w:r w:rsidRPr="00185B9B">
        <w:t xml:space="preserve">&lt;Insert </w:t>
      </w:r>
      <w:r w:rsidR="002E04D4">
        <w:t xml:space="preserve">a bulleted list identifying which sections of the </w:t>
      </w:r>
      <w:r w:rsidR="00434E94">
        <w:t>P</w:t>
      </w:r>
      <w:r w:rsidR="002E04D4">
        <w:t xml:space="preserve">lan have been updated from the prior fiscal year’s </w:t>
      </w:r>
      <w:r w:rsidR="00434E94">
        <w:t>P</w:t>
      </w:r>
      <w:r w:rsidR="002E04D4">
        <w:t>lan, along with a brief synopsis of the nature of the update</w:t>
      </w:r>
      <w:r w:rsidRPr="00185B9B">
        <w:t>&gt;</w:t>
      </w:r>
    </w:p>
    <w:p w14:paraId="4FC4E1D4" w14:textId="7752BF67" w:rsidR="00D106E8" w:rsidRPr="00B44681" w:rsidRDefault="00D106E8" w:rsidP="001F23B8">
      <w:pPr>
        <w:pStyle w:val="FHWASubtitle"/>
        <w:rPr>
          <w:color w:val="385623" w:themeColor="accent6" w:themeShade="80"/>
          <w:sz w:val="24"/>
          <w:szCs w:val="24"/>
        </w:rPr>
      </w:pPr>
      <w:r w:rsidRPr="00E318DD">
        <w:rPr>
          <w:color w:val="385623" w:themeColor="accent6" w:themeShade="80"/>
        </w:rPr>
        <w:t>State Agency Coordination</w:t>
      </w:r>
      <w:r w:rsidR="004E1B57">
        <w:rPr>
          <w:color w:val="385623" w:themeColor="accent6" w:themeShade="80"/>
        </w:rPr>
        <w:t xml:space="preserve"> </w:t>
      </w:r>
    </w:p>
    <w:p w14:paraId="4F187255" w14:textId="38F28B88" w:rsidR="00D106E8" w:rsidRDefault="00D106E8" w:rsidP="00D106E8">
      <w:r w:rsidRPr="00185B9B">
        <w:t>&lt;</w:t>
      </w:r>
      <w:r w:rsidR="00A8349B">
        <w:t xml:space="preserve">Insert </w:t>
      </w:r>
      <w:r w:rsidR="000F11D0">
        <w:t xml:space="preserve">updates to </w:t>
      </w:r>
      <w:r w:rsidR="00A8349B">
        <w:t>discussion of</w:t>
      </w:r>
      <w:r w:rsidR="008140B5">
        <w:t xml:space="preserve"> how the State has coordinated with other State agencies in developing and approving the </w:t>
      </w:r>
      <w:r w:rsidR="00A8349B">
        <w:t>P</w:t>
      </w:r>
      <w:r w:rsidR="008140B5">
        <w:t xml:space="preserve">lan </w:t>
      </w:r>
      <w:r w:rsidR="00E11EE2">
        <w:t xml:space="preserve">consistent with </w:t>
      </w:r>
      <w:r w:rsidR="005F0BAD">
        <w:t xml:space="preserve">the NEVI Formula Program Guidance, </w:t>
      </w:r>
      <w:r w:rsidR="008140B5">
        <w:t>and steps taken to maximize opportunities to utilize U.S.-made EV supply equipment.</w:t>
      </w:r>
      <w:r w:rsidRPr="00185B9B">
        <w:t>&gt;</w:t>
      </w:r>
    </w:p>
    <w:p w14:paraId="4FEA85A4" w14:textId="33B5A4D2" w:rsidR="004D1AD8" w:rsidRDefault="004D1AD8" w:rsidP="00D106E8"/>
    <w:p w14:paraId="5A80E66D" w14:textId="0ABA348C" w:rsidR="002E04D4" w:rsidRDefault="002E04D4" w:rsidP="00B305F0">
      <w:pPr>
        <w:pStyle w:val="FHWAParagraghHeading"/>
        <w:ind w:left="720"/>
      </w:pPr>
      <w:r>
        <w:t>Memoranda of Understanding with other agencies</w:t>
      </w:r>
      <w:r w:rsidR="00A16A20">
        <w:t xml:space="preserve"> </w:t>
      </w:r>
      <w:r w:rsidR="00A16A20">
        <w:rPr>
          <w:color w:val="auto"/>
        </w:rPr>
        <w:t xml:space="preserve">[Updated </w:t>
      </w:r>
      <w:r w:rsidR="00C67BCB">
        <w:rPr>
          <w:color w:val="auto"/>
        </w:rPr>
        <w:t>6/</w:t>
      </w:r>
      <w:r w:rsidR="0096757B">
        <w:rPr>
          <w:color w:val="auto"/>
        </w:rPr>
        <w:t>2</w:t>
      </w:r>
      <w:r w:rsidR="00C67BCB">
        <w:rPr>
          <w:color w:val="auto"/>
        </w:rPr>
        <w:t>/23</w:t>
      </w:r>
      <w:r w:rsidR="00A16A20">
        <w:rPr>
          <w:color w:val="auto"/>
        </w:rPr>
        <w:t>]</w:t>
      </w:r>
    </w:p>
    <w:p w14:paraId="6739A099" w14:textId="4A4F1717" w:rsidR="002E04D4" w:rsidRDefault="002E04D4" w:rsidP="00B305F0">
      <w:pPr>
        <w:ind w:left="720"/>
      </w:pPr>
      <w:r>
        <w:t>&lt;I</w:t>
      </w:r>
      <w:r w:rsidR="00177625">
        <w:t xml:space="preserve">dentify and discuss any memoranda of understanding (MOUs) </w:t>
      </w:r>
      <w:proofErr w:type="gramStart"/>
      <w:r w:rsidR="00177625">
        <w:t>entered into</w:t>
      </w:r>
      <w:proofErr w:type="gramEnd"/>
      <w:r w:rsidR="00177625">
        <w:t xml:space="preserve"> with another State agency to help administer the NEVI Program.&gt;</w:t>
      </w:r>
    </w:p>
    <w:p w14:paraId="566ADE40" w14:textId="1B12924C" w:rsidR="00177625" w:rsidRDefault="00177625" w:rsidP="00B305F0">
      <w:pPr>
        <w:ind w:left="720"/>
      </w:pPr>
    </w:p>
    <w:p w14:paraId="0DCDC715" w14:textId="288CAA39" w:rsidR="002E04D4" w:rsidRPr="00185B9B" w:rsidRDefault="002E04D4" w:rsidP="00B305F0">
      <w:pPr>
        <w:pStyle w:val="FHWAParagraghHeading"/>
        <w:ind w:left="720"/>
      </w:pPr>
      <w:r>
        <w:t>Interagency Working Group(s)</w:t>
      </w:r>
      <w:r w:rsidR="00A16A20">
        <w:t xml:space="preserve"> </w:t>
      </w:r>
      <w:r w:rsidR="00A16A20">
        <w:rPr>
          <w:color w:val="auto"/>
        </w:rPr>
        <w:t xml:space="preserve">[Updated </w:t>
      </w:r>
      <w:r w:rsidR="00C67BCB">
        <w:rPr>
          <w:color w:val="auto"/>
        </w:rPr>
        <w:t>6/</w:t>
      </w:r>
      <w:r w:rsidR="0096757B">
        <w:rPr>
          <w:color w:val="auto"/>
        </w:rPr>
        <w:t>2</w:t>
      </w:r>
      <w:r w:rsidR="00C67BCB">
        <w:rPr>
          <w:color w:val="auto"/>
        </w:rPr>
        <w:t>/23</w:t>
      </w:r>
      <w:r w:rsidR="00A16A20">
        <w:rPr>
          <w:color w:val="auto"/>
        </w:rPr>
        <w:t>]</w:t>
      </w:r>
    </w:p>
    <w:p w14:paraId="40591BC8" w14:textId="2AA77F21" w:rsidR="00D106E8" w:rsidRDefault="00177625" w:rsidP="00B305F0">
      <w:pPr>
        <w:ind w:left="720"/>
      </w:pPr>
      <w:r>
        <w:t>&lt;Identify and discuss interagency working groups that have been established.&gt;</w:t>
      </w:r>
    </w:p>
    <w:p w14:paraId="11ECCAED" w14:textId="6CB7620D" w:rsidR="00177625" w:rsidRPr="00B82049" w:rsidRDefault="00177625" w:rsidP="00177625"/>
    <w:p w14:paraId="47C4E443" w14:textId="238D67B9" w:rsidR="00326F3C" w:rsidRPr="006B6493" w:rsidRDefault="001F23B8" w:rsidP="001806E2">
      <w:pPr>
        <w:pStyle w:val="FHWASubtitle"/>
        <w:rPr>
          <w:color w:val="385623" w:themeColor="accent6" w:themeShade="80"/>
        </w:rPr>
      </w:pPr>
      <w:bookmarkStart w:id="1" w:name="_Toc89879077"/>
      <w:bookmarkStart w:id="2" w:name="_Toc90022561"/>
      <w:r>
        <w:rPr>
          <w:color w:val="385623" w:themeColor="accent6" w:themeShade="80"/>
        </w:rPr>
        <w:lastRenderedPageBreak/>
        <w:t>Public Engagement</w:t>
      </w:r>
      <w:r w:rsidR="00E70D08">
        <w:rPr>
          <w:color w:val="385623" w:themeColor="accent6" w:themeShade="80"/>
        </w:rPr>
        <w:t xml:space="preserve"> </w:t>
      </w:r>
      <w:r w:rsidR="00E70D08" w:rsidRPr="005A60F8">
        <w:rPr>
          <w:color w:val="auto"/>
          <w:sz w:val="24"/>
          <w:szCs w:val="24"/>
        </w:rPr>
        <w:t xml:space="preserve">[Updated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E70D08" w:rsidRPr="005A60F8">
        <w:rPr>
          <w:color w:val="auto"/>
          <w:sz w:val="24"/>
          <w:szCs w:val="24"/>
        </w:rPr>
        <w:t>]</w:t>
      </w:r>
      <w:r w:rsidR="00565C95" w:rsidRPr="00B305F0">
        <w:rPr>
          <w:color w:val="auto"/>
        </w:rPr>
        <w:t xml:space="preserve">  </w:t>
      </w:r>
    </w:p>
    <w:p w14:paraId="523B8B65" w14:textId="0D91156D" w:rsidR="00326F3C" w:rsidRPr="00185B9B" w:rsidRDefault="00326F3C" w:rsidP="00326F3C">
      <w:r w:rsidRPr="00185B9B">
        <w:t>&lt;</w:t>
      </w:r>
      <w:r w:rsidR="00E70D08" w:rsidRPr="00E70D08">
        <w:t xml:space="preserve"> </w:t>
      </w:r>
      <w:bookmarkStart w:id="3" w:name="_Hlk135661593"/>
      <w:r w:rsidR="00E70D08">
        <w:t xml:space="preserve">This section should discuss the statewide public engagement on EV charging infrastructure. </w:t>
      </w:r>
      <w:bookmarkEnd w:id="3"/>
      <w:r w:rsidR="00A8349B">
        <w:t xml:space="preserve">Insert </w:t>
      </w:r>
      <w:r w:rsidR="000F11D0">
        <w:t xml:space="preserve">updates to </w:t>
      </w:r>
      <w:r w:rsidR="00A8349B">
        <w:t>overview of</w:t>
      </w:r>
      <w:r w:rsidR="008140B5">
        <w:t xml:space="preserve"> </w:t>
      </w:r>
      <w:r w:rsidR="003F43B1">
        <w:t xml:space="preserve">public </w:t>
      </w:r>
      <w:r w:rsidR="008140B5">
        <w:t xml:space="preserve">involvement in the </w:t>
      </w:r>
      <w:r w:rsidR="00A8349B">
        <w:t>P</w:t>
      </w:r>
      <w:r w:rsidR="008140B5">
        <w:t>lan’s development</w:t>
      </w:r>
      <w:r w:rsidR="00A8349B">
        <w:t xml:space="preserve"> to include </w:t>
      </w:r>
      <w:proofErr w:type="gramStart"/>
      <w:r w:rsidR="00A8349B">
        <w:t>general public</w:t>
      </w:r>
      <w:proofErr w:type="gramEnd"/>
      <w:r w:rsidR="00A8349B">
        <w:t>, governmental entities, federally recognized Tribes, labor organizations, private sector/industry representatives of the transportation and freight logistics industries, state public transportation agencies, and urban, rural, and underserved or disadvantaged communities.</w:t>
      </w:r>
      <w:r w:rsidRPr="00185B9B">
        <w:t>&gt;</w:t>
      </w:r>
    </w:p>
    <w:bookmarkEnd w:id="1"/>
    <w:bookmarkEnd w:id="2"/>
    <w:p w14:paraId="6B69AD37" w14:textId="526EFF68" w:rsidR="000D1FBB" w:rsidRDefault="000D1FBB" w:rsidP="00524230"/>
    <w:p w14:paraId="1CCEA7BC" w14:textId="265E67A7" w:rsidR="00326F3C" w:rsidRPr="003504FB" w:rsidRDefault="00177625" w:rsidP="00B305F0">
      <w:pPr>
        <w:pStyle w:val="FHWAParagraghHeading"/>
        <w:ind w:left="720"/>
      </w:pPr>
      <w:r>
        <w:t>Community Engagement Outcomes Report</w:t>
      </w:r>
      <w:r w:rsidR="00A16A20">
        <w:rPr>
          <w:color w:val="auto"/>
        </w:rPr>
        <w:t xml:space="preserve"> [</w:t>
      </w:r>
      <w:r w:rsidR="008F1F0A">
        <w:rPr>
          <w:color w:val="auto"/>
        </w:rPr>
        <w:t xml:space="preserve">REQUIRED - </w:t>
      </w:r>
      <w:r w:rsidR="00A16A20">
        <w:rPr>
          <w:color w:val="auto"/>
        </w:rPr>
        <w:t xml:space="preserve">Updated </w:t>
      </w:r>
      <w:r w:rsidR="00C67BCB">
        <w:rPr>
          <w:color w:val="auto"/>
        </w:rPr>
        <w:t>6/</w:t>
      </w:r>
      <w:r w:rsidR="0096757B">
        <w:rPr>
          <w:color w:val="auto"/>
        </w:rPr>
        <w:t>2</w:t>
      </w:r>
      <w:r w:rsidR="00C67BCB">
        <w:rPr>
          <w:color w:val="auto"/>
        </w:rPr>
        <w:t>/23</w:t>
      </w:r>
      <w:r w:rsidR="00A16A20">
        <w:rPr>
          <w:color w:val="auto"/>
        </w:rPr>
        <w:t>]</w:t>
      </w:r>
      <w:r w:rsidR="00486613" w:rsidRPr="0031107E">
        <w:rPr>
          <w:color w:val="auto"/>
        </w:rPr>
        <w:t xml:space="preserve">  </w:t>
      </w:r>
    </w:p>
    <w:p w14:paraId="3F058B26" w14:textId="27C1EB7A" w:rsidR="00326F3C" w:rsidRDefault="00326F3C" w:rsidP="00B305F0">
      <w:pPr>
        <w:pStyle w:val="ListParagraph"/>
        <w:ind w:left="720" w:firstLine="0"/>
        <w:contextualSpacing/>
      </w:pPr>
      <w:r w:rsidRPr="00185B9B">
        <w:t>&lt;</w:t>
      </w:r>
      <w:r w:rsidR="00177625">
        <w:t xml:space="preserve">Per 23 </w:t>
      </w:r>
      <w:r w:rsidR="000018A7">
        <w:t xml:space="preserve">CFR </w:t>
      </w:r>
      <w:r w:rsidR="00177625">
        <w:t>680.112 (d), include a c</w:t>
      </w:r>
      <w:r w:rsidR="00177625" w:rsidRPr="00BA62FA">
        <w:t xml:space="preserve">ommunity engagement outcomes report </w:t>
      </w:r>
      <w:r w:rsidR="00177625">
        <w:t xml:space="preserve">and include a description of the community engagement activities conducted as part of the development and approval of the most </w:t>
      </w:r>
      <w:proofErr w:type="gramStart"/>
      <w:r w:rsidR="00177625">
        <w:t>recently-approved</w:t>
      </w:r>
      <w:proofErr w:type="gramEnd"/>
      <w:r w:rsidR="00177625">
        <w:t xml:space="preserve"> Plan, including engagement with disadvantaged communities</w:t>
      </w:r>
      <w:r w:rsidR="00E433F2">
        <w:t>.</w:t>
      </w:r>
      <w:r w:rsidRPr="00185B9B">
        <w:t>&gt;</w:t>
      </w:r>
    </w:p>
    <w:p w14:paraId="41F66268" w14:textId="21B70391" w:rsidR="00177625" w:rsidRDefault="00177625" w:rsidP="00B305F0">
      <w:pPr>
        <w:ind w:left="720"/>
      </w:pPr>
    </w:p>
    <w:p w14:paraId="78F14AC3" w14:textId="4246E329" w:rsidR="00177625" w:rsidRDefault="00177625" w:rsidP="00B305F0">
      <w:pPr>
        <w:pStyle w:val="FHWAParagraghHeading"/>
        <w:ind w:left="720"/>
      </w:pPr>
      <w:r>
        <w:t>Tribal Engagement</w:t>
      </w:r>
      <w:r w:rsidR="00463AFF">
        <w:t xml:space="preserve"> </w:t>
      </w:r>
      <w:r w:rsidR="00A16A20">
        <w:rPr>
          <w:color w:val="auto"/>
        </w:rPr>
        <w:t xml:space="preserve">[Updated </w:t>
      </w:r>
      <w:r w:rsidR="00C67BCB">
        <w:rPr>
          <w:color w:val="auto"/>
        </w:rPr>
        <w:t>6/</w:t>
      </w:r>
      <w:r w:rsidR="0096757B">
        <w:rPr>
          <w:color w:val="auto"/>
        </w:rPr>
        <w:t>2</w:t>
      </w:r>
      <w:r w:rsidR="00C67BCB">
        <w:rPr>
          <w:color w:val="auto"/>
        </w:rPr>
        <w:t>/23</w:t>
      </w:r>
      <w:r w:rsidR="00A16A20">
        <w:rPr>
          <w:color w:val="auto"/>
        </w:rPr>
        <w:t>]</w:t>
      </w:r>
      <w:r w:rsidR="00A16A20" w:rsidRPr="0031107E" w:rsidDel="00A16A20">
        <w:rPr>
          <w:color w:val="auto"/>
        </w:rPr>
        <w:t xml:space="preserve"> </w:t>
      </w:r>
      <w:r w:rsidR="00400755" w:rsidRPr="0031107E">
        <w:rPr>
          <w:color w:val="auto"/>
        </w:rPr>
        <w:t xml:space="preserve">  </w:t>
      </w:r>
    </w:p>
    <w:p w14:paraId="33269E77" w14:textId="4E3AA4E5" w:rsidR="00177625" w:rsidRDefault="00177625" w:rsidP="00B305F0">
      <w:pPr>
        <w:ind w:left="720"/>
      </w:pPr>
      <w:r>
        <w:t>&lt;Include information regarding engagement with Tribal communities</w:t>
      </w:r>
      <w:r w:rsidR="00700742">
        <w:t xml:space="preserve">. This information should </w:t>
      </w:r>
      <w:r w:rsidR="0055220D">
        <w:t>identify</w:t>
      </w:r>
      <w:r w:rsidR="00D2185D">
        <w:t xml:space="preserve"> </w:t>
      </w:r>
      <w:r w:rsidR="00700742">
        <w:t>the tribal entit</w:t>
      </w:r>
      <w:r w:rsidR="0055220D">
        <w:t>ies</w:t>
      </w:r>
      <w:r w:rsidR="00700742">
        <w:t xml:space="preserve"> or type</w:t>
      </w:r>
      <w:r w:rsidR="0055220D">
        <w:t>s</w:t>
      </w:r>
      <w:r w:rsidR="00700742">
        <w:t xml:space="preserve"> of communit</w:t>
      </w:r>
      <w:r w:rsidR="0055220D">
        <w:t>ies</w:t>
      </w:r>
      <w:r w:rsidR="00700742">
        <w:t xml:space="preserve"> engaged</w:t>
      </w:r>
      <w:r w:rsidR="0055220D">
        <w:t xml:space="preserve">, </w:t>
      </w:r>
      <w:r w:rsidR="00B273B8">
        <w:t>the number and type of events in which each tribal entity was engaged, the</w:t>
      </w:r>
      <w:r w:rsidR="00EF279E">
        <w:t xml:space="preserve"> resources used to engage with tribes, the feedback </w:t>
      </w:r>
      <w:r w:rsidR="00FF2A1C">
        <w:t>received and links to any posted summaries of feedback, and a summary of how feedback impacted the development of the Plan.</w:t>
      </w:r>
      <w:r>
        <w:t>&gt;</w:t>
      </w:r>
    </w:p>
    <w:p w14:paraId="0D46C9E1" w14:textId="1521238F" w:rsidR="00177625" w:rsidRPr="00185B9B" w:rsidRDefault="00177625" w:rsidP="00B305F0">
      <w:pPr>
        <w:ind w:left="720"/>
      </w:pPr>
    </w:p>
    <w:p w14:paraId="468270C4" w14:textId="7ED1A12A" w:rsidR="00961F1C" w:rsidRDefault="00177625" w:rsidP="00B305F0">
      <w:pPr>
        <w:pStyle w:val="FHWAParagraghHeading"/>
        <w:ind w:left="720"/>
      </w:pPr>
      <w:r>
        <w:t>Utility Engagement</w:t>
      </w:r>
      <w:r w:rsidR="009F033F">
        <w:t xml:space="preserve"> </w:t>
      </w:r>
      <w:r w:rsidR="008F1F0A">
        <w:rPr>
          <w:color w:val="auto"/>
        </w:rPr>
        <w:t xml:space="preserve">[Updated </w:t>
      </w:r>
      <w:r w:rsidR="00C67BCB">
        <w:rPr>
          <w:color w:val="auto"/>
        </w:rPr>
        <w:t>6/</w:t>
      </w:r>
      <w:r w:rsidR="0096757B">
        <w:rPr>
          <w:color w:val="auto"/>
        </w:rPr>
        <w:t>2</w:t>
      </w:r>
      <w:r w:rsidR="00C67BCB">
        <w:rPr>
          <w:color w:val="auto"/>
        </w:rPr>
        <w:t>/23</w:t>
      </w:r>
      <w:r w:rsidR="008F1F0A">
        <w:rPr>
          <w:color w:val="auto"/>
        </w:rPr>
        <w:t>]</w:t>
      </w:r>
      <w:r w:rsidR="008F1F0A" w:rsidRPr="0031107E" w:rsidDel="00A16A20">
        <w:rPr>
          <w:color w:val="auto"/>
        </w:rPr>
        <w:t xml:space="preserve"> </w:t>
      </w:r>
      <w:r w:rsidR="008F1F0A" w:rsidRPr="0031107E">
        <w:rPr>
          <w:color w:val="auto"/>
        </w:rPr>
        <w:t xml:space="preserve">  </w:t>
      </w:r>
    </w:p>
    <w:p w14:paraId="7FF3C7C0" w14:textId="526A8FCA" w:rsidR="00177625" w:rsidRDefault="00177625" w:rsidP="00B305F0">
      <w:pPr>
        <w:ind w:left="720"/>
      </w:pPr>
      <w:r>
        <w:t>&lt;Include information regarding engagement with utilities</w:t>
      </w:r>
      <w:r w:rsidR="000018A7">
        <w:t>. Identify the utilities in the State and the territories they serve. Identify any steps taken to continue engagement of utilities and to incorporate this engagement into meaningful steps towards successful deployment of EV chargers.</w:t>
      </w:r>
      <w:r>
        <w:t>&gt;</w:t>
      </w:r>
    </w:p>
    <w:p w14:paraId="4D8E59A5" w14:textId="0DEC5CB6" w:rsidR="00381F1A" w:rsidRDefault="00381F1A" w:rsidP="00B305F0">
      <w:pPr>
        <w:ind w:left="720"/>
      </w:pPr>
    </w:p>
    <w:p w14:paraId="6E66FA79" w14:textId="42A614D3" w:rsidR="00381F1A" w:rsidRDefault="00381F1A" w:rsidP="00B305F0">
      <w:pPr>
        <w:pStyle w:val="FHWAParagraghHeading"/>
        <w:ind w:left="720"/>
      </w:pPr>
      <w:r>
        <w:t>Site-Specific Public Engagement</w:t>
      </w:r>
      <w:r w:rsidR="009F033F">
        <w:t xml:space="preserve"> </w:t>
      </w:r>
      <w:r w:rsidR="008F1F0A">
        <w:rPr>
          <w:color w:val="auto"/>
        </w:rPr>
        <w:t xml:space="preserve">[Updated </w:t>
      </w:r>
      <w:r w:rsidR="00C67BCB">
        <w:rPr>
          <w:color w:val="auto"/>
        </w:rPr>
        <w:t>6/</w:t>
      </w:r>
      <w:r w:rsidR="0096757B">
        <w:rPr>
          <w:color w:val="auto"/>
        </w:rPr>
        <w:t>2</w:t>
      </w:r>
      <w:r w:rsidR="00C67BCB">
        <w:rPr>
          <w:color w:val="auto"/>
        </w:rPr>
        <w:t>/23</w:t>
      </w:r>
      <w:r w:rsidR="008F1F0A">
        <w:rPr>
          <w:color w:val="auto"/>
        </w:rPr>
        <w:t>]</w:t>
      </w:r>
      <w:r w:rsidR="008F1F0A" w:rsidRPr="0031107E" w:rsidDel="00A16A20">
        <w:rPr>
          <w:color w:val="auto"/>
        </w:rPr>
        <w:t xml:space="preserve"> </w:t>
      </w:r>
      <w:r w:rsidR="008F1F0A" w:rsidRPr="0031107E">
        <w:rPr>
          <w:color w:val="auto"/>
        </w:rPr>
        <w:t xml:space="preserve">  </w:t>
      </w:r>
    </w:p>
    <w:p w14:paraId="534A7F00" w14:textId="22970653" w:rsidR="00381F1A" w:rsidRDefault="00381F1A" w:rsidP="00B305F0">
      <w:pPr>
        <w:ind w:left="720"/>
      </w:pPr>
      <w:r>
        <w:t>&lt;Include information regarding site-specific engagement plans to engage communities or ensure that third-party entities contracted to install EV charging infrastructure will engage communities in the locations where EV charging infrastructure will be sited.&gt;</w:t>
      </w:r>
    </w:p>
    <w:p w14:paraId="24C979F3" w14:textId="1B01362F" w:rsidR="004D1AD8" w:rsidRDefault="004D1AD8" w:rsidP="00524230"/>
    <w:p w14:paraId="2B6066F6" w14:textId="66F7EABC" w:rsidR="00107C73" w:rsidRPr="003504FB" w:rsidRDefault="00107C73" w:rsidP="00BD76FC">
      <w:pPr>
        <w:pStyle w:val="FHWASubtitle"/>
        <w:rPr>
          <w:color w:val="385623" w:themeColor="accent6" w:themeShade="80"/>
        </w:rPr>
      </w:pPr>
      <w:bookmarkStart w:id="4" w:name="_Toc90022567"/>
      <w:r w:rsidRPr="003504FB">
        <w:rPr>
          <w:color w:val="385623" w:themeColor="accent6" w:themeShade="80"/>
        </w:rPr>
        <w:t xml:space="preserve">Plan Vision </w:t>
      </w:r>
      <w:r w:rsidR="001F23B8">
        <w:rPr>
          <w:color w:val="385623" w:themeColor="accent6" w:themeShade="80"/>
        </w:rPr>
        <w:t>and</w:t>
      </w:r>
      <w:r w:rsidR="001F23B8" w:rsidRPr="003504FB">
        <w:rPr>
          <w:color w:val="385623" w:themeColor="accent6" w:themeShade="80"/>
        </w:rPr>
        <w:t xml:space="preserve"> </w:t>
      </w:r>
      <w:r w:rsidRPr="003504FB">
        <w:rPr>
          <w:color w:val="385623" w:themeColor="accent6" w:themeShade="80"/>
        </w:rPr>
        <w:t>Goals</w:t>
      </w:r>
      <w:bookmarkEnd w:id="4"/>
      <w:r w:rsidRPr="003504FB">
        <w:rPr>
          <w:color w:val="385623" w:themeColor="accent6" w:themeShade="80"/>
        </w:rPr>
        <w:t xml:space="preserve"> </w:t>
      </w:r>
    </w:p>
    <w:p w14:paraId="0F9FC432" w14:textId="34B7E320" w:rsidR="00524230" w:rsidRPr="00185B9B" w:rsidRDefault="00ED4811" w:rsidP="00524230">
      <w:r w:rsidRPr="00185B9B">
        <w:t xml:space="preserve">&lt;Insert </w:t>
      </w:r>
      <w:r w:rsidR="00CF3068">
        <w:t xml:space="preserve">updates to </w:t>
      </w:r>
      <w:r w:rsidRPr="00185B9B">
        <w:t xml:space="preserve">the </w:t>
      </w:r>
      <w:r w:rsidR="00622224" w:rsidRPr="00185B9B">
        <w:t xml:space="preserve">State’s </w:t>
      </w:r>
      <w:r w:rsidRPr="00185B9B">
        <w:t>vision</w:t>
      </w:r>
      <w:r w:rsidR="008C3D8A" w:rsidRPr="00185B9B">
        <w:t xml:space="preserve"> to strategically deploy electric vehicle charging infrastructure and to establish an interconnected network to facilitate data collection </w:t>
      </w:r>
      <w:r w:rsidR="00A8349B">
        <w:t>and support the development of convenient, accessible, reliable, and equitable EV charging</w:t>
      </w:r>
      <w:r w:rsidRPr="00185B9B">
        <w:t>.</w:t>
      </w:r>
      <w:r w:rsidR="004B20BC" w:rsidRPr="00185B9B">
        <w:t xml:space="preserve"> </w:t>
      </w:r>
      <w:r w:rsidR="006F0D5A" w:rsidRPr="00185B9B">
        <w:t>Provide an enumerated list of goals</w:t>
      </w:r>
      <w:r w:rsidR="008C3D8A" w:rsidRPr="00185B9B">
        <w:t xml:space="preserve"> that supports the establishment of an interconnected network that will facilitate: 1) data collection; 2) equitable access; and 3) network reliability</w:t>
      </w:r>
      <w:r w:rsidRPr="00185B9B">
        <w:t>.</w:t>
      </w:r>
      <w:r w:rsidR="004B20BC" w:rsidRPr="00185B9B">
        <w:t xml:space="preserve"> Plan vision and goals </w:t>
      </w:r>
      <w:r w:rsidR="00326F3C" w:rsidRPr="00185B9B">
        <w:t xml:space="preserve">should </w:t>
      </w:r>
      <w:r w:rsidR="004B20BC" w:rsidRPr="00185B9B">
        <w:t>provide an outlook for the 5-year program and beyond</w:t>
      </w:r>
      <w:r w:rsidR="00A23BB9" w:rsidRPr="00185B9B">
        <w:t xml:space="preserve"> with at least one outcome-oriented goal with a quantified target</w:t>
      </w:r>
      <w:r w:rsidR="00E433F2">
        <w:t>.</w:t>
      </w:r>
      <w:r w:rsidR="001C14C0">
        <w:t xml:space="preserve"> States are also encouraged to discuss their strategy for utilizing NEVI funds once EV alternative fuel corridors are certified as “fully built out”.</w:t>
      </w:r>
      <w:r w:rsidR="006F0D5A" w:rsidRPr="00185B9B">
        <w:t>&gt;</w:t>
      </w:r>
    </w:p>
    <w:p w14:paraId="30C565E7" w14:textId="4FF528CE" w:rsidR="004D1AD8" w:rsidRDefault="004D1AD8" w:rsidP="00524230">
      <w:pPr>
        <w:rPr>
          <w:color w:val="FF0000"/>
        </w:rPr>
      </w:pPr>
    </w:p>
    <w:p w14:paraId="50B357A3" w14:textId="06B1550C" w:rsidR="00622224" w:rsidRPr="00622224" w:rsidRDefault="00622224" w:rsidP="00622224">
      <w:pPr>
        <w:pStyle w:val="FHWASubtitle"/>
      </w:pPr>
      <w:r w:rsidRPr="003504FB">
        <w:rPr>
          <w:color w:val="385623" w:themeColor="accent6" w:themeShade="80"/>
        </w:rPr>
        <w:t xml:space="preserve">Contracting </w:t>
      </w:r>
      <w:r w:rsidRPr="00622224">
        <w:t xml:space="preserve"> </w:t>
      </w:r>
      <w:r w:rsidR="00400755" w:rsidRPr="0031107E">
        <w:rPr>
          <w:color w:val="auto"/>
        </w:rPr>
        <w:t xml:space="preserve">  </w:t>
      </w:r>
    </w:p>
    <w:p w14:paraId="2F329A1E" w14:textId="2AEAF5E6" w:rsidR="00A23BB9" w:rsidRPr="00185B9B" w:rsidRDefault="00A23BB9" w:rsidP="00524230">
      <w:r w:rsidRPr="00185B9B">
        <w:t xml:space="preserve">&lt;Insert </w:t>
      </w:r>
      <w:r w:rsidR="00CF3068">
        <w:t xml:space="preserve">updates to </w:t>
      </w:r>
      <w:r w:rsidR="003F43B1">
        <w:t xml:space="preserve">discussion of </w:t>
      </w:r>
      <w:r w:rsidRPr="00185B9B">
        <w:t>the State</w:t>
      </w:r>
      <w:r w:rsidR="00622224" w:rsidRPr="00185B9B">
        <w:t xml:space="preserve">’s </w:t>
      </w:r>
      <w:r w:rsidR="00C260EB" w:rsidRPr="00185B9B">
        <w:t xml:space="preserve">plans </w:t>
      </w:r>
      <w:r w:rsidR="00622224" w:rsidRPr="00185B9B">
        <w:t>for</w:t>
      </w:r>
      <w:r w:rsidRPr="00185B9B">
        <w:t xml:space="preserve"> contract</w:t>
      </w:r>
      <w:r w:rsidR="00622224" w:rsidRPr="00185B9B">
        <w:t>ing</w:t>
      </w:r>
      <w:r w:rsidRPr="00185B9B">
        <w:t xml:space="preserve"> with private</w:t>
      </w:r>
      <w:r w:rsidR="00C5677F" w:rsidRPr="00185B9B">
        <w:t xml:space="preserve"> </w:t>
      </w:r>
      <w:r w:rsidRPr="00185B9B">
        <w:t>entities</w:t>
      </w:r>
      <w:r w:rsidR="00007E50" w:rsidRPr="00185B9B">
        <w:t>, including plans for the participation of small businesses</w:t>
      </w:r>
      <w:r w:rsidRPr="00185B9B">
        <w:t>.</w:t>
      </w:r>
      <w:r w:rsidR="00622224" w:rsidRPr="00185B9B">
        <w:t xml:space="preserve"> Discuss how the State will ensure that EV charging infrastructure is delivered in a manner that leads to efficient and effective deployment against broader Plan goals.</w:t>
      </w:r>
      <w:r w:rsidR="00E318DD">
        <w:t xml:space="preserve"> </w:t>
      </w:r>
      <w:r w:rsidR="00E433F2">
        <w:t>Also d</w:t>
      </w:r>
      <w:r w:rsidR="00E318DD">
        <w:t>iscuss the State’s contracting strategy for achieving efficient delivery of ongoing operations and maintenance activities</w:t>
      </w:r>
      <w:r w:rsidR="00E551CC">
        <w:t xml:space="preserve"> during and after the period of the award</w:t>
      </w:r>
      <w:r w:rsidR="00E318DD">
        <w:t xml:space="preserve">. Finally, this section should identify how the State will ensure that contractors will engage communities where EV charging infrastructure will be </w:t>
      </w:r>
      <w:r w:rsidR="00E318DD">
        <w:lastRenderedPageBreak/>
        <w:t>installed.</w:t>
      </w:r>
      <w:r w:rsidRPr="00185B9B">
        <w:t>&gt;</w:t>
      </w:r>
    </w:p>
    <w:p w14:paraId="50D777AC" w14:textId="2DF147A5" w:rsidR="00A23BB9" w:rsidRDefault="00A23BB9" w:rsidP="00524230">
      <w:pPr>
        <w:rPr>
          <w:color w:val="FF0000"/>
        </w:rPr>
      </w:pPr>
    </w:p>
    <w:p w14:paraId="759E2B50" w14:textId="725D92A4" w:rsidR="0030360D" w:rsidRDefault="0030360D" w:rsidP="00B305F0">
      <w:pPr>
        <w:pStyle w:val="FHWAParagraghHeading"/>
        <w:ind w:left="720"/>
      </w:pPr>
      <w:r>
        <w:t xml:space="preserve">Status of Contracting Process </w:t>
      </w:r>
      <w:r w:rsidRPr="00186708">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Pr="00186708">
        <w:rPr>
          <w:color w:val="auto"/>
        </w:rPr>
        <w:t>]</w:t>
      </w:r>
    </w:p>
    <w:p w14:paraId="61B6E5A1" w14:textId="320A46E8" w:rsidR="0030360D" w:rsidRDefault="0030360D" w:rsidP="00B305F0">
      <w:pPr>
        <w:ind w:left="720"/>
      </w:pPr>
      <w:r>
        <w:t>&lt;</w:t>
      </w:r>
      <w:r w:rsidRPr="0030360D">
        <w:t xml:space="preserve"> </w:t>
      </w:r>
      <w:r>
        <w:t>Include the</w:t>
      </w:r>
      <w:r w:rsidR="00621C0F">
        <w:t xml:space="preserve"> number</w:t>
      </w:r>
      <w:r w:rsidR="00F75C04">
        <w:t xml:space="preserve">, </w:t>
      </w:r>
      <w:r>
        <w:t>status</w:t>
      </w:r>
      <w:r w:rsidR="00F75C04">
        <w:t>, and timeline for</w:t>
      </w:r>
      <w:r>
        <w:t xml:space="preserve"> </w:t>
      </w:r>
      <w:r w:rsidR="009D0240">
        <w:t xml:space="preserve">existing and upcoming </w:t>
      </w:r>
      <w:r>
        <w:t xml:space="preserve">State Request for Proposals (RFPs), Request for Qualifications (RFQs), or </w:t>
      </w:r>
      <w:r w:rsidR="005A11FF">
        <w:t>Contract Awards</w:t>
      </w:r>
      <w:r>
        <w:t xml:space="preserve">.&gt;  </w:t>
      </w:r>
    </w:p>
    <w:p w14:paraId="0AED83A2" w14:textId="53BA450B" w:rsidR="0030360D" w:rsidRDefault="0030360D" w:rsidP="00B305F0">
      <w:pPr>
        <w:ind w:left="720"/>
      </w:pPr>
    </w:p>
    <w:p w14:paraId="633C7D9C" w14:textId="56303E14" w:rsidR="0030360D" w:rsidRDefault="0030360D" w:rsidP="00B305F0">
      <w:pPr>
        <w:pStyle w:val="FHWAParagraghHeading"/>
        <w:ind w:left="720"/>
      </w:pPr>
      <w:r>
        <w:t xml:space="preserve">Awarded Contracts </w:t>
      </w:r>
      <w:r w:rsidRPr="00186708">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Pr="00186708">
        <w:rPr>
          <w:color w:val="auto"/>
        </w:rPr>
        <w:t>]</w:t>
      </w:r>
    </w:p>
    <w:p w14:paraId="49F30B1F" w14:textId="4C2CEFB5" w:rsidR="0030360D" w:rsidRDefault="0030360D" w:rsidP="00B305F0">
      <w:pPr>
        <w:ind w:left="720"/>
        <w:contextualSpacing/>
      </w:pPr>
      <w:r>
        <w:t>&lt;</w:t>
      </w:r>
      <w:r w:rsidRPr="0030360D">
        <w:t xml:space="preserve"> </w:t>
      </w:r>
      <w:r>
        <w:t xml:space="preserve">Identify </w:t>
      </w:r>
      <w:r w:rsidR="00621C0F">
        <w:t xml:space="preserve">the number and status of </w:t>
      </w:r>
      <w:r>
        <w:t>contracts awarded and include the type of contract mechanism used (public-private partnership design-build-operate-maintain, design-build, indefinite delivery/indefinite quantity, or others)</w:t>
      </w:r>
      <w:r w:rsidR="001C14C0">
        <w:t>. States should identify RFP/contract provisions utilized/to be utilized to promote competitive bids and cost containment.</w:t>
      </w:r>
      <w:r>
        <w:t>&gt;</w:t>
      </w:r>
    </w:p>
    <w:p w14:paraId="5210B71E" w14:textId="22FA51A7" w:rsidR="0030360D" w:rsidRDefault="0030360D" w:rsidP="00B305F0">
      <w:pPr>
        <w:ind w:left="720"/>
      </w:pPr>
    </w:p>
    <w:p w14:paraId="040609D5" w14:textId="593E977C" w:rsidR="0030360D" w:rsidRDefault="0030360D" w:rsidP="00B305F0">
      <w:pPr>
        <w:pStyle w:val="FHWAParagraghHeading"/>
        <w:ind w:left="720"/>
      </w:pPr>
      <w:r>
        <w:t xml:space="preserve">Scoring Methodologies </w:t>
      </w:r>
      <w:r w:rsidR="007D0DA2">
        <w:t xml:space="preserve">Utilized </w:t>
      </w:r>
      <w:r w:rsidRPr="00186708">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Pr="00186708">
        <w:rPr>
          <w:color w:val="auto"/>
        </w:rPr>
        <w:t>]</w:t>
      </w:r>
    </w:p>
    <w:p w14:paraId="43C24374" w14:textId="20AC8EC8" w:rsidR="0030360D" w:rsidRDefault="0030360D" w:rsidP="00B305F0">
      <w:pPr>
        <w:ind w:left="720"/>
        <w:contextualSpacing/>
      </w:pPr>
      <w:r>
        <w:t>&lt;</w:t>
      </w:r>
      <w:r w:rsidRPr="0030360D">
        <w:t xml:space="preserve"> </w:t>
      </w:r>
      <w:r>
        <w:t>Identify scoring methodology used to evaluate contracts including specifically if contracts used scoring methods for equity and Justice40 topics.&gt;</w:t>
      </w:r>
    </w:p>
    <w:p w14:paraId="39695F4E" w14:textId="2F9BC572" w:rsidR="0030360D" w:rsidRDefault="0030360D" w:rsidP="00186708"/>
    <w:p w14:paraId="7E528FF7" w14:textId="102E7F68" w:rsidR="0030360D" w:rsidRDefault="00AB1758" w:rsidP="00B305F0">
      <w:pPr>
        <w:pStyle w:val="FHWAParagraghHeading"/>
        <w:ind w:left="720"/>
      </w:pPr>
      <w:r>
        <w:t xml:space="preserve">Plan for </w:t>
      </w:r>
      <w:r w:rsidR="0030360D">
        <w:t xml:space="preserve">Compliance with Federal Requirements </w:t>
      </w:r>
      <w:r w:rsidR="0030360D" w:rsidRPr="00B44681">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0030360D" w:rsidRPr="00B44681">
        <w:rPr>
          <w:color w:val="auto"/>
        </w:rPr>
        <w:t>]</w:t>
      </w:r>
    </w:p>
    <w:p w14:paraId="03BD3EEA" w14:textId="4F4F0227" w:rsidR="0030360D" w:rsidRDefault="0030360D" w:rsidP="00B305F0">
      <w:pPr>
        <w:ind w:left="720"/>
        <w:rPr>
          <w:rFonts w:eastAsia="Trebuchet MS"/>
        </w:rPr>
      </w:pPr>
      <w:r>
        <w:rPr>
          <w:rFonts w:eastAsia="Trebuchet MS"/>
        </w:rPr>
        <w:t xml:space="preserve">&lt;Identify how State is </w:t>
      </w:r>
      <w:r w:rsidRPr="0030360D">
        <w:rPr>
          <w:rFonts w:eastAsia="Trebuchet MS"/>
        </w:rPr>
        <w:t>ensuring</w:t>
      </w:r>
      <w:r>
        <w:rPr>
          <w:rFonts w:eastAsia="Trebuchet MS"/>
        </w:rPr>
        <w:t xml:space="preserve"> contractors</w:t>
      </w:r>
      <w:r w:rsidRPr="0030360D">
        <w:rPr>
          <w:rFonts w:eastAsia="Trebuchet MS"/>
        </w:rPr>
        <w:t xml:space="preserve"> compl</w:t>
      </w:r>
      <w:r>
        <w:rPr>
          <w:rFonts w:eastAsia="Trebuchet MS"/>
        </w:rPr>
        <w:t>y</w:t>
      </w:r>
      <w:r w:rsidRPr="0030360D">
        <w:rPr>
          <w:rFonts w:eastAsia="Trebuchet MS"/>
        </w:rPr>
        <w:t xml:space="preserve"> with 23 U.S.C.</w:t>
      </w:r>
      <w:r w:rsidR="009D0240">
        <w:rPr>
          <w:rFonts w:eastAsia="Trebuchet MS"/>
        </w:rPr>
        <w:t>, 23 CFR 680,</w:t>
      </w:r>
      <w:r w:rsidRPr="0030360D">
        <w:rPr>
          <w:rFonts w:eastAsia="Trebuchet MS"/>
        </w:rPr>
        <w:t xml:space="preserve"> and all applicable requirements under 2 CFR 200.</w:t>
      </w:r>
      <w:r>
        <w:rPr>
          <w:rFonts w:eastAsia="Trebuchet MS"/>
        </w:rPr>
        <w:t>&gt;</w:t>
      </w:r>
    </w:p>
    <w:p w14:paraId="08D9C9B3" w14:textId="261B8091" w:rsidR="006C46AF" w:rsidRDefault="006C46AF" w:rsidP="00B305F0">
      <w:pPr>
        <w:ind w:left="720"/>
        <w:rPr>
          <w:rFonts w:eastAsia="Trebuchet MS"/>
        </w:rPr>
      </w:pPr>
    </w:p>
    <w:p w14:paraId="081FF86C" w14:textId="77777777" w:rsidR="006C46AF" w:rsidRPr="0030360D" w:rsidRDefault="006C46AF" w:rsidP="00B305F0">
      <w:pPr>
        <w:ind w:left="720"/>
        <w:rPr>
          <w:rFonts w:eastAsia="Trebuchet MS"/>
        </w:rPr>
      </w:pPr>
    </w:p>
    <w:p w14:paraId="4CDCB46E" w14:textId="7388AE57" w:rsidR="00327078" w:rsidRPr="00E77BBB" w:rsidRDefault="00327078" w:rsidP="00327078">
      <w:pPr>
        <w:pStyle w:val="FHWASubtitle"/>
        <w:rPr>
          <w:color w:val="385623" w:themeColor="accent6" w:themeShade="80"/>
        </w:rPr>
      </w:pPr>
      <w:r w:rsidRPr="00E77BBB">
        <w:rPr>
          <w:color w:val="385623" w:themeColor="accent6" w:themeShade="80"/>
        </w:rPr>
        <w:t>Civil Rights</w:t>
      </w:r>
      <w:r>
        <w:rPr>
          <w:color w:val="385623" w:themeColor="accent6" w:themeShade="80"/>
        </w:rPr>
        <w:t xml:space="preserve"> </w:t>
      </w:r>
      <w:r w:rsidRPr="00327078">
        <w:rPr>
          <w:color w:val="auto"/>
          <w:sz w:val="24"/>
          <w:szCs w:val="24"/>
        </w:rPr>
        <w:t xml:space="preserve">[Updated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Pr="00327078">
        <w:rPr>
          <w:color w:val="auto"/>
          <w:sz w:val="24"/>
          <w:szCs w:val="24"/>
        </w:rPr>
        <w:t>]</w:t>
      </w:r>
    </w:p>
    <w:p w14:paraId="4A02BAEC" w14:textId="182E870D" w:rsidR="00327078" w:rsidRPr="00185B9B" w:rsidRDefault="00327078" w:rsidP="00327078">
      <w:r w:rsidRPr="00185B9B">
        <w:t xml:space="preserve">&lt;Insert </w:t>
      </w:r>
      <w:r>
        <w:t xml:space="preserve">updates to </w:t>
      </w:r>
      <w:r w:rsidRPr="00185B9B">
        <w:t>discussion here</w:t>
      </w:r>
      <w:r>
        <w:t xml:space="preserve"> about how the State will ensure compliance with State and Federal civil rights laws, including Title VI of the Civil Rights Act and accompanying USDOT regulations, the American with Disabilities Act, and Section 504 of the Rehabilitation Act.</w:t>
      </w:r>
      <w:r w:rsidR="001C14C0">
        <w:t xml:space="preserve"> States should indicate changes in civil rights compliance considerations outlined in Plans from prior fiscal years, including changes to address compliance with minimum standards for EV charging infrastructure under </w:t>
      </w:r>
      <w:hyperlink r:id="rId11" w:history="1">
        <w:r w:rsidR="001C14C0">
          <w:rPr>
            <w:rStyle w:val="Hyperlink"/>
          </w:rPr>
          <w:t>23 CFR 680</w:t>
        </w:r>
      </w:hyperlink>
      <w:r w:rsidRPr="00185B9B">
        <w:t>&gt;</w:t>
      </w:r>
    </w:p>
    <w:p w14:paraId="67B9767E" w14:textId="6283B85D" w:rsidR="004D1AD8" w:rsidRDefault="004D1AD8" w:rsidP="00BD76FC"/>
    <w:p w14:paraId="0BFED72F" w14:textId="048A8BEE" w:rsidR="00107C73" w:rsidRPr="00B44681" w:rsidRDefault="00107C73" w:rsidP="00BD76FC">
      <w:pPr>
        <w:pStyle w:val="FHWASubtitle"/>
        <w:rPr>
          <w:color w:val="385623" w:themeColor="accent6" w:themeShade="80"/>
          <w:sz w:val="24"/>
          <w:szCs w:val="24"/>
        </w:rPr>
      </w:pPr>
      <w:bookmarkStart w:id="5" w:name="_Toc90022571"/>
      <w:r w:rsidRPr="003504FB">
        <w:rPr>
          <w:rStyle w:val="Heading3Char"/>
          <w:rFonts w:ascii="Arial" w:hAnsi="Arial" w:cs="Arial"/>
          <w:color w:val="385623" w:themeColor="accent6" w:themeShade="80"/>
          <w:sz w:val="34"/>
          <w:szCs w:val="34"/>
        </w:rPr>
        <w:t xml:space="preserve">Existing </w:t>
      </w:r>
      <w:r w:rsidR="00326F3C" w:rsidRPr="003504FB">
        <w:rPr>
          <w:rStyle w:val="Heading3Char"/>
          <w:rFonts w:ascii="Arial" w:hAnsi="Arial" w:cs="Arial"/>
          <w:color w:val="385623" w:themeColor="accent6" w:themeShade="80"/>
          <w:sz w:val="34"/>
          <w:szCs w:val="34"/>
        </w:rPr>
        <w:t xml:space="preserve">and Future </w:t>
      </w:r>
      <w:r w:rsidRPr="003504FB">
        <w:rPr>
          <w:rStyle w:val="Heading3Char"/>
          <w:rFonts w:ascii="Arial" w:hAnsi="Arial" w:cs="Arial"/>
          <w:color w:val="385623" w:themeColor="accent6" w:themeShade="80"/>
          <w:sz w:val="34"/>
          <w:szCs w:val="34"/>
        </w:rPr>
        <w:t>Conditions Analysis</w:t>
      </w:r>
      <w:bookmarkEnd w:id="5"/>
      <w:r w:rsidR="003A424E" w:rsidRPr="00B44681">
        <w:rPr>
          <w:color w:val="auto"/>
        </w:rPr>
        <w:t xml:space="preserve">  </w:t>
      </w:r>
    </w:p>
    <w:p w14:paraId="1CDE3388" w14:textId="36B0D779" w:rsidR="008E4B39" w:rsidRPr="00185B9B" w:rsidRDefault="008E4B39" w:rsidP="008E4B39">
      <w:r w:rsidRPr="00185B9B">
        <w:t xml:space="preserve">&lt;Insert </w:t>
      </w:r>
      <w:r w:rsidR="00CF3068">
        <w:t xml:space="preserve">updates to </w:t>
      </w:r>
      <w:r w:rsidRPr="00185B9B">
        <w:t>overview here</w:t>
      </w:r>
      <w:r w:rsidR="004B20BC" w:rsidRPr="00185B9B">
        <w:t>.</w:t>
      </w:r>
      <w:r w:rsidR="00326F3C" w:rsidRPr="00185B9B">
        <w:t xml:space="preserve"> This section should introduce the State’s geography, terrain, and climate (to include current and future temperature and precipitation patterns).</w:t>
      </w:r>
      <w:r w:rsidR="004B20BC" w:rsidRPr="00185B9B">
        <w:t xml:space="preserve"> This section </w:t>
      </w:r>
      <w:r w:rsidR="00326F3C" w:rsidRPr="00185B9B">
        <w:t xml:space="preserve">should also </w:t>
      </w:r>
      <w:r w:rsidR="004B20BC" w:rsidRPr="00185B9B">
        <w:t xml:space="preserve">include a discussion of industry/market conditions </w:t>
      </w:r>
      <w:r w:rsidR="00BD6BAF" w:rsidRPr="00185B9B">
        <w:t>(to include</w:t>
      </w:r>
      <w:r w:rsidR="004B20BC" w:rsidRPr="00185B9B">
        <w:t xml:space="preserve"> </w:t>
      </w:r>
      <w:r w:rsidR="00457C19" w:rsidRPr="00185B9B">
        <w:t xml:space="preserve">EV </w:t>
      </w:r>
      <w:r w:rsidR="004B20BC" w:rsidRPr="00185B9B">
        <w:t>ownership/availability</w:t>
      </w:r>
      <w:r w:rsidR="00326F3C" w:rsidRPr="00185B9B">
        <w:t>, grid capacity, electric utilities</w:t>
      </w:r>
      <w:r w:rsidR="00BD6BAF" w:rsidRPr="00185B9B">
        <w:t xml:space="preserve"> that service the study area) and</w:t>
      </w:r>
      <w:r w:rsidR="00326F3C" w:rsidRPr="00185B9B">
        <w:t xml:space="preserve"> land use patterns.</w:t>
      </w:r>
      <w:r w:rsidR="0030360D">
        <w:t xml:space="preserve"> This section should also discuss travel patterns in the State, public transportation needs, </w:t>
      </w:r>
      <w:proofErr w:type="gramStart"/>
      <w:r w:rsidR="0030360D">
        <w:t>freight</w:t>
      </w:r>
      <w:proofErr w:type="gramEnd"/>
      <w:r w:rsidR="0030360D">
        <w:t xml:space="preserve"> and other supply chain needs.</w:t>
      </w:r>
      <w:r w:rsidR="002615FA" w:rsidRPr="002615FA">
        <w:t xml:space="preserve"> </w:t>
      </w:r>
      <w:r w:rsidR="002615FA">
        <w:t>This section should also include a discussion on known risks and challenges for EV deployment.</w:t>
      </w:r>
      <w:r w:rsidRPr="00185B9B">
        <w:t>&gt;</w:t>
      </w:r>
    </w:p>
    <w:p w14:paraId="6FAB4126" w14:textId="77777777" w:rsidR="00A23BB9" w:rsidRDefault="00A23BB9" w:rsidP="00BD76FC"/>
    <w:p w14:paraId="3C199E37" w14:textId="3FCC7065" w:rsidR="009B3C89" w:rsidRPr="003504FB" w:rsidRDefault="001D6760" w:rsidP="00B305F0">
      <w:pPr>
        <w:pStyle w:val="FHWAParagraghHeading"/>
        <w:ind w:left="720"/>
      </w:pPr>
      <w:bookmarkStart w:id="6" w:name="_Toc90022574"/>
      <w:r>
        <w:t>Alternative Fuel Corridor (</w:t>
      </w:r>
      <w:r w:rsidR="00C7252B" w:rsidRPr="003504FB">
        <w:t>A</w:t>
      </w:r>
      <w:r w:rsidR="00457C19" w:rsidRPr="003504FB">
        <w:t>FC</w:t>
      </w:r>
      <w:r>
        <w:t>)</w:t>
      </w:r>
      <w:r w:rsidR="009B3C89" w:rsidRPr="003504FB">
        <w:t xml:space="preserve"> </w:t>
      </w:r>
      <w:r w:rsidR="005F64CC">
        <w:t>Designations</w:t>
      </w:r>
      <w:r w:rsidR="009B3C89" w:rsidRPr="003504FB">
        <w:t xml:space="preserve"> </w:t>
      </w:r>
      <w:bookmarkEnd w:id="6"/>
      <w:r w:rsidR="003A424E" w:rsidRPr="00B44681">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003A424E" w:rsidRPr="00B44681">
        <w:rPr>
          <w:color w:val="auto"/>
        </w:rPr>
        <w:t>]</w:t>
      </w:r>
    </w:p>
    <w:p w14:paraId="3DD76F49" w14:textId="782814EE" w:rsidR="009B3C89" w:rsidRPr="00185B9B" w:rsidRDefault="009B3C89" w:rsidP="00B305F0">
      <w:pPr>
        <w:ind w:left="720"/>
      </w:pPr>
      <w:r w:rsidRPr="00185B9B">
        <w:t xml:space="preserve">&lt;Insert </w:t>
      </w:r>
      <w:r w:rsidR="00C7252B" w:rsidRPr="00185B9B">
        <w:t xml:space="preserve">general </w:t>
      </w:r>
      <w:r w:rsidRPr="00185B9B">
        <w:t xml:space="preserve">discussion </w:t>
      </w:r>
      <w:r w:rsidR="005F64CC">
        <w:t xml:space="preserve">about AFC EV corridor networks </w:t>
      </w:r>
      <w:r w:rsidRPr="00185B9B">
        <w:t>here</w:t>
      </w:r>
      <w:r w:rsidR="00C7252B" w:rsidRPr="00185B9B">
        <w:t xml:space="preserve">. </w:t>
      </w:r>
      <w:r w:rsidR="00C64D69">
        <w:t xml:space="preserve">Include </w:t>
      </w:r>
      <w:r w:rsidR="005F64CC">
        <w:t xml:space="preserve">specifically </w:t>
      </w:r>
      <w:r w:rsidR="002615FA">
        <w:t xml:space="preserve">nominations and/or designations from the most recent round of </w:t>
      </w:r>
      <w:r w:rsidR="00C64D69">
        <w:t xml:space="preserve">AFC </w:t>
      </w:r>
      <w:r w:rsidR="002615FA">
        <w:t>Nominations</w:t>
      </w:r>
      <w:r w:rsidR="00C64D69">
        <w:t>, if applicable.</w:t>
      </w:r>
      <w:r w:rsidRPr="00185B9B">
        <w:t>&gt;</w:t>
      </w:r>
    </w:p>
    <w:p w14:paraId="0CD50C0E" w14:textId="6CBA8BA3" w:rsidR="009B3C89" w:rsidRDefault="009B3C89" w:rsidP="00B305F0">
      <w:pPr>
        <w:ind w:left="720"/>
        <w:rPr>
          <w:color w:val="FF0000"/>
        </w:rPr>
      </w:pPr>
    </w:p>
    <w:p w14:paraId="71EFF95D" w14:textId="74357B40" w:rsidR="009B3C89" w:rsidRDefault="00C7252B" w:rsidP="00B305F0">
      <w:pPr>
        <w:ind w:left="720"/>
        <w:rPr>
          <w:color w:val="FF0000"/>
        </w:rPr>
      </w:pPr>
      <w:r>
        <w:rPr>
          <w:noProof/>
          <w:color w:val="FF0000"/>
        </w:rPr>
        <mc:AlternateContent>
          <mc:Choice Requires="wps">
            <w:drawing>
              <wp:anchor distT="0" distB="0" distL="114300" distR="114300" simplePos="0" relativeHeight="251658242" behindDoc="1" locked="0" layoutInCell="1" allowOverlap="1" wp14:anchorId="2D20F8B5" wp14:editId="368BCC6F">
                <wp:simplePos x="0" y="0"/>
                <wp:positionH relativeFrom="column">
                  <wp:posOffset>470568</wp:posOffset>
                </wp:positionH>
                <wp:positionV relativeFrom="paragraph">
                  <wp:posOffset>5348</wp:posOffset>
                </wp:positionV>
                <wp:extent cx="4833620" cy="416560"/>
                <wp:effectExtent l="0" t="0" r="24130" b="21590"/>
                <wp:wrapTight wrapText="bothSides">
                  <wp:wrapPolygon edited="0">
                    <wp:start x="0" y="0"/>
                    <wp:lineTo x="0" y="21732"/>
                    <wp:lineTo x="21623" y="21732"/>
                    <wp:lineTo x="21623" y="0"/>
                    <wp:lineTo x="0" y="0"/>
                  </wp:wrapPolygon>
                </wp:wrapTight>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33620" cy="416560"/>
                        </a:xfrm>
                        <a:prstGeom prst="rect">
                          <a:avLst/>
                        </a:prstGeom>
                        <a:solidFill>
                          <a:schemeClr val="lt1"/>
                        </a:solidFill>
                        <a:ln w="6350">
                          <a:solidFill>
                            <a:schemeClr val="accent6">
                              <a:lumMod val="75000"/>
                            </a:schemeClr>
                          </a:solidFill>
                        </a:ln>
                      </wps:spPr>
                      <wps:txbx>
                        <w:txbxContent>
                          <w:p w14:paraId="7CA2A4DB" w14:textId="52D8748D" w:rsidR="00C7252B" w:rsidRPr="00185B9B" w:rsidRDefault="00C7252B" w:rsidP="00C7252B">
                            <w:pPr>
                              <w:jc w:val="center"/>
                            </w:pPr>
                            <w:r w:rsidRPr="00185B9B">
                              <w:t>&lt;INSERT MAP OF STATE WITH AFC</w:t>
                            </w:r>
                            <w:r w:rsidR="005F64CC">
                              <w:t>s</w:t>
                            </w:r>
                            <w:r w:rsidRPr="00185B9B">
                              <w:t xml:space="preserve"> &gt;</w:t>
                            </w:r>
                          </w:p>
                          <w:p w14:paraId="3CA98394" w14:textId="77777777" w:rsidR="00C7252B" w:rsidRDefault="00C7252B" w:rsidP="00C725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20F8B5" id="_x0000_t202" coordsize="21600,21600" o:spt="202" path="m,l,21600r21600,l21600,xe">
                <v:stroke joinstyle="miter"/>
                <v:path gradientshapeok="t" o:connecttype="rect"/>
              </v:shapetype>
              <v:shape id="Text Box 19" o:spid="_x0000_s1026" type="#_x0000_t202" alt="&quot;&quot;" style="position:absolute;left:0;text-align:left;margin-left:37.05pt;margin-top:.4pt;width:380.6pt;height:32.8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" fillcolor="white [3201]" strokecolor="#538135 [2409]" strokeweight=".5pt">
                <v:textbox>
                  <w:txbxContent>
                    <w:p w14:paraId="7CA2A4DB" w14:textId="52D8748D" w:rsidR="00C7252B" w:rsidRPr="00185B9B" w:rsidRDefault="00C7252B" w:rsidP="00C7252B">
                      <w:pPr>
                        <w:jc w:val="center"/>
                      </w:pPr>
                      <w:r w:rsidRPr="00185B9B">
                        <w:t>&lt;INSERT MAP OF STATE WITH AFC</w:t>
                      </w:r>
                      <w:r w:rsidR="005F64CC">
                        <w:t>s</w:t>
                      </w:r>
                      <w:r w:rsidRPr="00185B9B">
                        <w:t xml:space="preserve"> &gt;</w:t>
                      </w:r>
                    </w:p>
                    <w:p w14:paraId="3CA98394" w14:textId="77777777" w:rsidR="00C7252B" w:rsidRDefault="00C7252B" w:rsidP="00C7252B">
                      <w:pPr>
                        <w:jc w:val="center"/>
                      </w:pPr>
                    </w:p>
                  </w:txbxContent>
                </v:textbox>
                <w10:wrap type="tight"/>
              </v:shape>
            </w:pict>
          </mc:Fallback>
        </mc:AlternateContent>
      </w:r>
    </w:p>
    <w:p w14:paraId="1478E61F" w14:textId="5983078F" w:rsidR="00C7252B" w:rsidRDefault="00C7252B" w:rsidP="00B305F0">
      <w:pPr>
        <w:ind w:left="720"/>
      </w:pPr>
    </w:p>
    <w:p w14:paraId="7431FBF5" w14:textId="5FAA2D3E" w:rsidR="00C7252B" w:rsidRDefault="00C7252B" w:rsidP="00B305F0">
      <w:pPr>
        <w:ind w:left="720"/>
      </w:pPr>
    </w:p>
    <w:p w14:paraId="4077F414" w14:textId="77777777" w:rsidR="004C5F27" w:rsidRDefault="004C5F27" w:rsidP="001E1EC4"/>
    <w:p w14:paraId="326F1E73" w14:textId="3188D359" w:rsidR="004C5F27" w:rsidRPr="003504FB" w:rsidRDefault="004C5F27" w:rsidP="004C5F27">
      <w:pPr>
        <w:pStyle w:val="FHWAParagraghHeading"/>
        <w:ind w:left="720"/>
      </w:pPr>
      <w:r>
        <w:t>Existing Charging Stations</w:t>
      </w:r>
      <w:r w:rsidRPr="003504FB">
        <w:t xml:space="preserve"> </w:t>
      </w:r>
      <w:r w:rsidRPr="00B44681">
        <w:rPr>
          <w:color w:val="auto"/>
        </w:rPr>
        <w:t>[</w:t>
      </w:r>
      <w:r>
        <w:rPr>
          <w:color w:val="auto"/>
        </w:rPr>
        <w:t xml:space="preserve">REQUIRED - Updated </w:t>
      </w:r>
      <w:r w:rsidR="00C67BCB">
        <w:rPr>
          <w:color w:val="auto"/>
        </w:rPr>
        <w:t>6/</w:t>
      </w:r>
      <w:r w:rsidR="0096757B">
        <w:rPr>
          <w:color w:val="auto"/>
        </w:rPr>
        <w:t>2</w:t>
      </w:r>
      <w:r w:rsidR="00C67BCB">
        <w:rPr>
          <w:color w:val="auto"/>
        </w:rPr>
        <w:t>/23</w:t>
      </w:r>
      <w:r w:rsidRPr="00B44681">
        <w:rPr>
          <w:color w:val="auto"/>
        </w:rPr>
        <w:t>]</w:t>
      </w:r>
    </w:p>
    <w:p w14:paraId="5A4A172E" w14:textId="7EFB2FFE" w:rsidR="00FA5D23" w:rsidRDefault="00FA5D23" w:rsidP="00B305F0">
      <w:pPr>
        <w:ind w:left="720"/>
      </w:pPr>
      <w:bookmarkStart w:id="7" w:name="_Toc89879087"/>
      <w:r w:rsidRPr="00185B9B">
        <w:t>&lt;Include</w:t>
      </w:r>
      <w:r w:rsidR="009B3C89" w:rsidRPr="00185B9B">
        <w:t xml:space="preserve"> </w:t>
      </w:r>
      <w:r w:rsidR="005F64CC">
        <w:t>descriptions of existing locations of charging infrastructure along designated AFCs</w:t>
      </w:r>
      <w:r w:rsidR="009B3C89" w:rsidRPr="00185B9B">
        <w:t xml:space="preserve"> here</w:t>
      </w:r>
      <w:r w:rsidR="00E433F2">
        <w:t>.</w:t>
      </w:r>
      <w:r w:rsidRPr="00185B9B">
        <w:t>&gt;</w:t>
      </w:r>
    </w:p>
    <w:p w14:paraId="5C1CB4F8" w14:textId="561D9AA0" w:rsidR="003D3325" w:rsidRDefault="00E31969" w:rsidP="00B305F0">
      <w:pPr>
        <w:ind w:left="720"/>
      </w:pPr>
      <w:r>
        <w:lastRenderedPageBreak/>
        <w:t>Include an “as of” date that the table is populated.</w:t>
      </w:r>
    </w:p>
    <w:tbl>
      <w:tblPr>
        <w:tblStyle w:val="TableGrid"/>
        <w:tblW w:w="7645" w:type="dxa"/>
        <w:tblInd w:w="720" w:type="dxa"/>
        <w:tblLook w:val="04A0" w:firstRow="1" w:lastRow="0" w:firstColumn="1" w:lastColumn="0" w:noHBand="0" w:noVBand="1"/>
      </w:tblPr>
      <w:tblGrid>
        <w:gridCol w:w="955"/>
        <w:gridCol w:w="956"/>
        <w:gridCol w:w="955"/>
        <w:gridCol w:w="956"/>
        <w:gridCol w:w="956"/>
        <w:gridCol w:w="955"/>
        <w:gridCol w:w="956"/>
        <w:gridCol w:w="956"/>
      </w:tblGrid>
      <w:tr w:rsidR="006C46AF" w14:paraId="26A2EC68" w14:textId="696D7992" w:rsidTr="00AC3BD4">
        <w:trPr>
          <w:cantSplit/>
          <w:trHeight w:val="2258"/>
        </w:trPr>
        <w:tc>
          <w:tcPr>
            <w:tcW w:w="955" w:type="dxa"/>
            <w:shd w:val="clear" w:color="auto" w:fill="D9D9D9" w:themeFill="background1" w:themeFillShade="D9"/>
            <w:textDirection w:val="btLr"/>
          </w:tcPr>
          <w:bookmarkEnd w:id="7"/>
          <w:p w14:paraId="31B49D23" w14:textId="5938310C" w:rsidR="006C46AF" w:rsidRPr="00AC3BD4" w:rsidRDefault="006C46AF" w:rsidP="006C46AF">
            <w:pPr>
              <w:ind w:left="113" w:right="113"/>
            </w:pPr>
            <w:r w:rsidRPr="00AC3BD4">
              <w:t>State EV Charging Location Unique ID*</w:t>
            </w:r>
          </w:p>
        </w:tc>
        <w:tc>
          <w:tcPr>
            <w:tcW w:w="956" w:type="dxa"/>
            <w:shd w:val="clear" w:color="auto" w:fill="D9D9D9" w:themeFill="background1" w:themeFillShade="D9"/>
            <w:textDirection w:val="btLr"/>
          </w:tcPr>
          <w:p w14:paraId="2C928790" w14:textId="77777777" w:rsidR="006C46AF" w:rsidRPr="00AC3BD4" w:rsidRDefault="006C46AF" w:rsidP="006C46AF">
            <w:pPr>
              <w:ind w:left="113" w:right="113"/>
            </w:pPr>
            <w:r w:rsidRPr="00AC3BD4">
              <w:t>Charger Level</w:t>
            </w:r>
          </w:p>
          <w:p w14:paraId="3772BC6A" w14:textId="45C8347D" w:rsidR="006C46AF" w:rsidRPr="00AC3BD4" w:rsidRDefault="006C46AF" w:rsidP="006C46AF">
            <w:pPr>
              <w:ind w:left="113" w:right="113"/>
            </w:pPr>
            <w:r w:rsidRPr="00AC3BD4">
              <w:t xml:space="preserve"> (DCFC, L2)</w:t>
            </w:r>
          </w:p>
        </w:tc>
        <w:tc>
          <w:tcPr>
            <w:tcW w:w="955" w:type="dxa"/>
            <w:shd w:val="clear" w:color="auto" w:fill="D9D9D9" w:themeFill="background1" w:themeFillShade="D9"/>
            <w:textDirection w:val="btLr"/>
          </w:tcPr>
          <w:p w14:paraId="4FB1B807" w14:textId="0670FBA6" w:rsidR="006C46AF" w:rsidRPr="00AC3BD4" w:rsidRDefault="006C46AF" w:rsidP="006C46AF">
            <w:pPr>
              <w:ind w:left="113" w:right="113"/>
            </w:pPr>
            <w:r w:rsidRPr="00AC3BD4">
              <w:t>Route</w:t>
            </w:r>
          </w:p>
        </w:tc>
        <w:tc>
          <w:tcPr>
            <w:tcW w:w="956" w:type="dxa"/>
            <w:shd w:val="clear" w:color="auto" w:fill="D9D9D9" w:themeFill="background1" w:themeFillShade="D9"/>
            <w:textDirection w:val="btLr"/>
          </w:tcPr>
          <w:p w14:paraId="75A3013D" w14:textId="77777777" w:rsidR="006C46AF" w:rsidRPr="00AC3BD4" w:rsidRDefault="006C46AF" w:rsidP="006C46AF">
            <w:pPr>
              <w:ind w:left="113" w:right="113"/>
            </w:pPr>
            <w:r w:rsidRPr="00AC3BD4">
              <w:t xml:space="preserve">Location </w:t>
            </w:r>
          </w:p>
          <w:p w14:paraId="6FEDB311" w14:textId="0C676539" w:rsidR="006C46AF" w:rsidRPr="00AC3BD4" w:rsidRDefault="006C46AF" w:rsidP="006C46AF">
            <w:pPr>
              <w:ind w:left="113" w:right="113"/>
            </w:pPr>
            <w:r w:rsidRPr="00AC3BD4">
              <w:t xml:space="preserve">(street </w:t>
            </w:r>
            <w:proofErr w:type="gramStart"/>
            <w:r w:rsidRPr="00AC3BD4">
              <w:t>address )</w:t>
            </w:r>
            <w:proofErr w:type="gramEnd"/>
          </w:p>
        </w:tc>
        <w:tc>
          <w:tcPr>
            <w:tcW w:w="956" w:type="dxa"/>
            <w:shd w:val="clear" w:color="auto" w:fill="D9D9D9" w:themeFill="background1" w:themeFillShade="D9"/>
            <w:textDirection w:val="btLr"/>
          </w:tcPr>
          <w:p w14:paraId="0CFB7ACE" w14:textId="54EEE9C4" w:rsidR="006C46AF" w:rsidRPr="00AC3BD4" w:rsidRDefault="006C46AF" w:rsidP="006C46AF">
            <w:pPr>
              <w:ind w:left="113" w:right="113"/>
            </w:pPr>
            <w:r w:rsidRPr="00AC3BD4">
              <w:t>Number of Charging Ports</w:t>
            </w:r>
          </w:p>
        </w:tc>
        <w:tc>
          <w:tcPr>
            <w:tcW w:w="955" w:type="dxa"/>
            <w:shd w:val="clear" w:color="auto" w:fill="D9D9D9" w:themeFill="background1" w:themeFillShade="D9"/>
            <w:textDirection w:val="btLr"/>
          </w:tcPr>
          <w:p w14:paraId="2CB2BB81" w14:textId="77777777" w:rsidR="006C46AF" w:rsidRPr="00AC3BD4" w:rsidRDefault="006C46AF" w:rsidP="006C46AF">
            <w:pPr>
              <w:ind w:left="113" w:right="113"/>
            </w:pPr>
            <w:r w:rsidRPr="00AC3BD4">
              <w:t xml:space="preserve">EV Network </w:t>
            </w:r>
          </w:p>
          <w:p w14:paraId="662A5E5D" w14:textId="09737095" w:rsidR="006C46AF" w:rsidRPr="00AC3BD4" w:rsidRDefault="006C46AF" w:rsidP="006C46AF">
            <w:pPr>
              <w:ind w:left="113" w:right="113"/>
            </w:pPr>
            <w:r w:rsidRPr="00AC3BD4">
              <w:t>(</w:t>
            </w:r>
            <w:proofErr w:type="gramStart"/>
            <w:r w:rsidRPr="00AC3BD4">
              <w:t>if</w:t>
            </w:r>
            <w:proofErr w:type="gramEnd"/>
            <w:r w:rsidRPr="00AC3BD4">
              <w:t xml:space="preserve"> known)</w:t>
            </w:r>
          </w:p>
        </w:tc>
        <w:tc>
          <w:tcPr>
            <w:tcW w:w="956" w:type="dxa"/>
            <w:shd w:val="clear" w:color="auto" w:fill="D9D9D9" w:themeFill="background1" w:themeFillShade="D9"/>
            <w:textDirection w:val="btLr"/>
          </w:tcPr>
          <w:p w14:paraId="258E2C4C" w14:textId="5F18053C" w:rsidR="005C1642" w:rsidRPr="00AC3BD4" w:rsidRDefault="009E1D6C" w:rsidP="006C46AF">
            <w:pPr>
              <w:ind w:left="113" w:right="113"/>
            </w:pPr>
            <w:r>
              <w:t>Meets all relevant requirements in</w:t>
            </w:r>
          </w:p>
          <w:p w14:paraId="01F2C44A" w14:textId="09268377" w:rsidR="006C46AF" w:rsidRPr="00AC3BD4" w:rsidRDefault="006C46AF" w:rsidP="006C46AF">
            <w:pPr>
              <w:ind w:left="113" w:right="113"/>
            </w:pPr>
            <w:r w:rsidRPr="00AC3BD4">
              <w:t>23 CFR 680?</w:t>
            </w:r>
          </w:p>
        </w:tc>
        <w:tc>
          <w:tcPr>
            <w:tcW w:w="956" w:type="dxa"/>
            <w:shd w:val="clear" w:color="auto" w:fill="D9D9D9" w:themeFill="background1" w:themeFillShade="D9"/>
            <w:textDirection w:val="btLr"/>
          </w:tcPr>
          <w:p w14:paraId="27DDCD40" w14:textId="3204B414" w:rsidR="006C46AF" w:rsidRPr="00AC3BD4" w:rsidRDefault="006C46AF" w:rsidP="000018A7">
            <w:pPr>
              <w:ind w:left="113" w:right="113"/>
            </w:pPr>
            <w:r w:rsidRPr="00AC3BD4">
              <w:t xml:space="preserve">Intent to count towards Fully Built Out </w:t>
            </w:r>
            <w:r w:rsidR="00434E94" w:rsidRPr="00AC3BD4">
              <w:t>determination</w:t>
            </w:r>
            <w:r w:rsidRPr="00AC3BD4">
              <w:t>?</w:t>
            </w:r>
          </w:p>
        </w:tc>
      </w:tr>
      <w:tr w:rsidR="006C46AF" w14:paraId="3307BFDD" w14:textId="0317E9B8" w:rsidTr="006C46AF">
        <w:tc>
          <w:tcPr>
            <w:tcW w:w="955" w:type="dxa"/>
          </w:tcPr>
          <w:p w14:paraId="1F9BB1AD" w14:textId="77777777" w:rsidR="006C46AF" w:rsidRDefault="006C46AF" w:rsidP="002B3960"/>
        </w:tc>
        <w:tc>
          <w:tcPr>
            <w:tcW w:w="956" w:type="dxa"/>
          </w:tcPr>
          <w:p w14:paraId="3693FB33" w14:textId="77777777" w:rsidR="006C46AF" w:rsidRDefault="006C46AF" w:rsidP="002B3960"/>
        </w:tc>
        <w:tc>
          <w:tcPr>
            <w:tcW w:w="955" w:type="dxa"/>
          </w:tcPr>
          <w:p w14:paraId="535414C4" w14:textId="47B2EF52" w:rsidR="006C46AF" w:rsidRDefault="006C46AF" w:rsidP="002B3960"/>
        </w:tc>
        <w:tc>
          <w:tcPr>
            <w:tcW w:w="956" w:type="dxa"/>
          </w:tcPr>
          <w:p w14:paraId="5BAD8BE0" w14:textId="77777777" w:rsidR="006C46AF" w:rsidRDefault="006C46AF" w:rsidP="002B3960"/>
        </w:tc>
        <w:tc>
          <w:tcPr>
            <w:tcW w:w="956" w:type="dxa"/>
          </w:tcPr>
          <w:p w14:paraId="2BDC0710" w14:textId="77777777" w:rsidR="006C46AF" w:rsidRDefault="006C46AF" w:rsidP="002B3960"/>
        </w:tc>
        <w:tc>
          <w:tcPr>
            <w:tcW w:w="955" w:type="dxa"/>
          </w:tcPr>
          <w:p w14:paraId="0FEF2CD3" w14:textId="7BE85AC1" w:rsidR="006C46AF" w:rsidRDefault="006C46AF" w:rsidP="002B3960"/>
        </w:tc>
        <w:tc>
          <w:tcPr>
            <w:tcW w:w="956" w:type="dxa"/>
          </w:tcPr>
          <w:p w14:paraId="7B1BC94C" w14:textId="77777777" w:rsidR="006C46AF" w:rsidRDefault="006C46AF" w:rsidP="002B3960"/>
        </w:tc>
        <w:tc>
          <w:tcPr>
            <w:tcW w:w="956" w:type="dxa"/>
          </w:tcPr>
          <w:p w14:paraId="476DE6AC" w14:textId="77777777" w:rsidR="006C46AF" w:rsidRDefault="006C46AF" w:rsidP="002B3960"/>
        </w:tc>
      </w:tr>
      <w:tr w:rsidR="006C46AF" w14:paraId="0220CCE8" w14:textId="5E37427B" w:rsidTr="006C46AF">
        <w:tc>
          <w:tcPr>
            <w:tcW w:w="955" w:type="dxa"/>
          </w:tcPr>
          <w:p w14:paraId="0A332822" w14:textId="77777777" w:rsidR="006C46AF" w:rsidRDefault="006C46AF" w:rsidP="002B3960"/>
        </w:tc>
        <w:tc>
          <w:tcPr>
            <w:tcW w:w="956" w:type="dxa"/>
          </w:tcPr>
          <w:p w14:paraId="5AFC499D" w14:textId="77777777" w:rsidR="006C46AF" w:rsidRDefault="006C46AF" w:rsidP="002B3960"/>
        </w:tc>
        <w:tc>
          <w:tcPr>
            <w:tcW w:w="955" w:type="dxa"/>
          </w:tcPr>
          <w:p w14:paraId="4B584CF6" w14:textId="6618A845" w:rsidR="006C46AF" w:rsidRDefault="006C46AF" w:rsidP="002B3960"/>
        </w:tc>
        <w:tc>
          <w:tcPr>
            <w:tcW w:w="956" w:type="dxa"/>
          </w:tcPr>
          <w:p w14:paraId="158D64BE" w14:textId="77777777" w:rsidR="006C46AF" w:rsidRDefault="006C46AF" w:rsidP="002B3960"/>
        </w:tc>
        <w:tc>
          <w:tcPr>
            <w:tcW w:w="956" w:type="dxa"/>
          </w:tcPr>
          <w:p w14:paraId="6C5E8BA9" w14:textId="77777777" w:rsidR="006C46AF" w:rsidRDefault="006C46AF" w:rsidP="002B3960"/>
        </w:tc>
        <w:tc>
          <w:tcPr>
            <w:tcW w:w="955" w:type="dxa"/>
          </w:tcPr>
          <w:p w14:paraId="78F08CE9" w14:textId="2D16D158" w:rsidR="006C46AF" w:rsidRDefault="006C46AF" w:rsidP="002B3960"/>
        </w:tc>
        <w:tc>
          <w:tcPr>
            <w:tcW w:w="956" w:type="dxa"/>
          </w:tcPr>
          <w:p w14:paraId="33EA3101" w14:textId="77777777" w:rsidR="006C46AF" w:rsidRDefault="006C46AF" w:rsidP="002B3960"/>
        </w:tc>
        <w:tc>
          <w:tcPr>
            <w:tcW w:w="956" w:type="dxa"/>
          </w:tcPr>
          <w:p w14:paraId="08FE4C0B" w14:textId="77777777" w:rsidR="006C46AF" w:rsidRDefault="006C46AF" w:rsidP="002B3960"/>
        </w:tc>
      </w:tr>
      <w:tr w:rsidR="006C46AF" w14:paraId="187AA511" w14:textId="1EB7EFEE" w:rsidTr="006C46AF">
        <w:tc>
          <w:tcPr>
            <w:tcW w:w="955" w:type="dxa"/>
          </w:tcPr>
          <w:p w14:paraId="32C585B5" w14:textId="77777777" w:rsidR="006C46AF" w:rsidRDefault="006C46AF" w:rsidP="002B3960"/>
        </w:tc>
        <w:tc>
          <w:tcPr>
            <w:tcW w:w="956" w:type="dxa"/>
          </w:tcPr>
          <w:p w14:paraId="084EC0A7" w14:textId="77777777" w:rsidR="006C46AF" w:rsidRDefault="006C46AF" w:rsidP="002B3960"/>
        </w:tc>
        <w:tc>
          <w:tcPr>
            <w:tcW w:w="955" w:type="dxa"/>
          </w:tcPr>
          <w:p w14:paraId="3F619328" w14:textId="1BA0F11E" w:rsidR="006C46AF" w:rsidRDefault="006C46AF" w:rsidP="002B3960"/>
        </w:tc>
        <w:tc>
          <w:tcPr>
            <w:tcW w:w="956" w:type="dxa"/>
          </w:tcPr>
          <w:p w14:paraId="1D574C30" w14:textId="77777777" w:rsidR="006C46AF" w:rsidRDefault="006C46AF" w:rsidP="002B3960"/>
        </w:tc>
        <w:tc>
          <w:tcPr>
            <w:tcW w:w="956" w:type="dxa"/>
          </w:tcPr>
          <w:p w14:paraId="39129213" w14:textId="77777777" w:rsidR="006C46AF" w:rsidRDefault="006C46AF" w:rsidP="002B3960"/>
        </w:tc>
        <w:tc>
          <w:tcPr>
            <w:tcW w:w="955" w:type="dxa"/>
          </w:tcPr>
          <w:p w14:paraId="16749CA3" w14:textId="7F36D47B" w:rsidR="006C46AF" w:rsidRDefault="006C46AF" w:rsidP="002B3960"/>
        </w:tc>
        <w:tc>
          <w:tcPr>
            <w:tcW w:w="956" w:type="dxa"/>
          </w:tcPr>
          <w:p w14:paraId="13822516" w14:textId="77777777" w:rsidR="006C46AF" w:rsidRDefault="006C46AF" w:rsidP="002B3960"/>
        </w:tc>
        <w:tc>
          <w:tcPr>
            <w:tcW w:w="956" w:type="dxa"/>
          </w:tcPr>
          <w:p w14:paraId="117C3E34" w14:textId="77777777" w:rsidR="006C46AF" w:rsidRDefault="006C46AF" w:rsidP="002B3960"/>
        </w:tc>
      </w:tr>
    </w:tbl>
    <w:p w14:paraId="1247C773" w14:textId="5AC756A7" w:rsidR="00FA5D23" w:rsidRDefault="00880301" w:rsidP="00B305F0">
      <w:pPr>
        <w:ind w:left="720"/>
        <w:rPr>
          <w:color w:val="FF0000"/>
        </w:rPr>
      </w:pPr>
      <w:r w:rsidRPr="00185B9B">
        <w:t>*Defined by the State – this should match the unique ID in the State’s applicable GIS databases.</w:t>
      </w:r>
    </w:p>
    <w:p w14:paraId="364A66B3" w14:textId="74D150FC" w:rsidR="00880301" w:rsidRDefault="00880301" w:rsidP="00B305F0">
      <w:pPr>
        <w:ind w:left="720"/>
        <w:rPr>
          <w:color w:val="FF0000"/>
        </w:rPr>
      </w:pPr>
    </w:p>
    <w:p w14:paraId="64620B3A" w14:textId="61A74418" w:rsidR="00A8349B" w:rsidRPr="00CE6A35" w:rsidRDefault="00A8349B" w:rsidP="00B305F0">
      <w:pPr>
        <w:ind w:left="720"/>
      </w:pPr>
      <w:r w:rsidRPr="00CE6A35">
        <w:t>Note</w:t>
      </w:r>
      <w:r w:rsidR="00E31969" w:rsidRPr="00CE6A35">
        <w:t xml:space="preserve"> that the </w:t>
      </w:r>
      <w:r w:rsidRPr="00CE6A35">
        <w:t>table can be included in the Appendix, if too lengthy to include here.</w:t>
      </w:r>
    </w:p>
    <w:p w14:paraId="537AE383" w14:textId="340316CC" w:rsidR="00C7252B" w:rsidRDefault="00C7252B" w:rsidP="00B305F0">
      <w:pPr>
        <w:ind w:left="720"/>
        <w:rPr>
          <w:color w:val="FF0000"/>
        </w:rPr>
      </w:pPr>
      <w:r>
        <w:rPr>
          <w:noProof/>
          <w:color w:val="FF0000"/>
        </w:rPr>
        <mc:AlternateContent>
          <mc:Choice Requires="wps">
            <w:drawing>
              <wp:anchor distT="0" distB="0" distL="114300" distR="114300" simplePos="0" relativeHeight="251658243" behindDoc="1" locked="0" layoutInCell="1" allowOverlap="1" wp14:anchorId="14977F41" wp14:editId="2C2E7DF1">
                <wp:simplePos x="0" y="0"/>
                <wp:positionH relativeFrom="column">
                  <wp:posOffset>341529</wp:posOffset>
                </wp:positionH>
                <wp:positionV relativeFrom="paragraph">
                  <wp:posOffset>90638</wp:posOffset>
                </wp:positionV>
                <wp:extent cx="4833620" cy="416560"/>
                <wp:effectExtent l="0" t="0" r="24130" b="21590"/>
                <wp:wrapTight wrapText="bothSides">
                  <wp:wrapPolygon edited="0">
                    <wp:start x="0" y="0"/>
                    <wp:lineTo x="0" y="21732"/>
                    <wp:lineTo x="21623" y="21732"/>
                    <wp:lineTo x="21623" y="0"/>
                    <wp:lineTo x="0" y="0"/>
                  </wp:wrapPolygon>
                </wp:wrapTight>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33620" cy="416560"/>
                        </a:xfrm>
                        <a:prstGeom prst="rect">
                          <a:avLst/>
                        </a:prstGeom>
                        <a:solidFill>
                          <a:schemeClr val="lt1"/>
                        </a:solidFill>
                        <a:ln w="6350">
                          <a:solidFill>
                            <a:schemeClr val="accent6">
                              <a:lumMod val="75000"/>
                            </a:schemeClr>
                          </a:solidFill>
                        </a:ln>
                      </wps:spPr>
                      <wps:txbx>
                        <w:txbxContent>
                          <w:p w14:paraId="6E2291F9" w14:textId="02357E53" w:rsidR="00C7252B" w:rsidRPr="00185B9B" w:rsidRDefault="00C7252B" w:rsidP="00C7252B">
                            <w:pPr>
                              <w:jc w:val="center"/>
                            </w:pPr>
                            <w:r w:rsidRPr="00185B9B">
                              <w:t>&lt;INSERT MAP OF STATE WITH AFC &amp; EXISTING PUBLIC DCFCLOCATIONS&gt;</w:t>
                            </w:r>
                          </w:p>
                          <w:p w14:paraId="6AA992D8" w14:textId="77777777" w:rsidR="00C7252B" w:rsidRDefault="00C7252B" w:rsidP="00C725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77F41" id="Text Box 20" o:spid="_x0000_s1027" type="#_x0000_t202" alt="&quot;&quot;" style="position:absolute;left:0;text-align:left;margin-left:26.9pt;margin-top:7.15pt;width:380.6pt;height:32.8pt;z-index:-2516582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" fillcolor="white [3201]" strokecolor="#538135 [2409]" strokeweight=".5pt">
                <v:textbox>
                  <w:txbxContent>
                    <w:p w14:paraId="6E2291F9" w14:textId="02357E53" w:rsidR="00C7252B" w:rsidRPr="00185B9B" w:rsidRDefault="00C7252B" w:rsidP="00C7252B">
                      <w:pPr>
                        <w:jc w:val="center"/>
                      </w:pPr>
                      <w:r w:rsidRPr="00185B9B">
                        <w:t>&lt;INSERT MAP OF STATE WITH AFC &amp; EXISTING PUBLIC DCFCLOCATIONS&gt;</w:t>
                      </w:r>
                    </w:p>
                    <w:p w14:paraId="6AA992D8" w14:textId="77777777" w:rsidR="00C7252B" w:rsidRDefault="00C7252B" w:rsidP="00C7252B">
                      <w:pPr>
                        <w:jc w:val="center"/>
                      </w:pPr>
                    </w:p>
                  </w:txbxContent>
                </v:textbox>
                <w10:wrap type="tight"/>
              </v:shape>
            </w:pict>
          </mc:Fallback>
        </mc:AlternateContent>
      </w:r>
    </w:p>
    <w:p w14:paraId="0E6BE351" w14:textId="5FDCD580" w:rsidR="00C7252B" w:rsidRDefault="00C7252B" w:rsidP="00B305F0">
      <w:pPr>
        <w:ind w:left="720"/>
      </w:pPr>
      <w:bookmarkStart w:id="8" w:name="_Toc90022577"/>
    </w:p>
    <w:p w14:paraId="785F72EF" w14:textId="5057BC4E" w:rsidR="00C7252B" w:rsidRDefault="00C7252B" w:rsidP="00A53997"/>
    <w:p w14:paraId="408328F7" w14:textId="3F250562" w:rsidR="00C7252B" w:rsidRDefault="00C7252B" w:rsidP="00A53997"/>
    <w:bookmarkEnd w:id="8"/>
    <w:p w14:paraId="2671AD65" w14:textId="0A7E4018" w:rsidR="00F70B08" w:rsidRDefault="00F70B08" w:rsidP="00107C73">
      <w:pPr>
        <w:rPr>
          <w:sz w:val="24"/>
          <w:szCs w:val="24"/>
        </w:rPr>
      </w:pPr>
    </w:p>
    <w:p w14:paraId="286D96D6" w14:textId="046BC960" w:rsidR="004D1AD8" w:rsidRDefault="004D1AD8" w:rsidP="00107C73">
      <w:pPr>
        <w:rPr>
          <w:sz w:val="24"/>
          <w:szCs w:val="24"/>
        </w:rPr>
      </w:pPr>
    </w:p>
    <w:p w14:paraId="05CD4E0D" w14:textId="293C8391" w:rsidR="00107C73" w:rsidRPr="00E77BBB" w:rsidRDefault="00107C73" w:rsidP="009B3C89">
      <w:pPr>
        <w:pStyle w:val="FHWASubtitle"/>
        <w:rPr>
          <w:color w:val="385623" w:themeColor="accent6" w:themeShade="80"/>
        </w:rPr>
      </w:pPr>
      <w:bookmarkStart w:id="9" w:name="_Toc90022578"/>
      <w:r w:rsidRPr="00E77BBB">
        <w:rPr>
          <w:color w:val="385623" w:themeColor="accent6" w:themeShade="80"/>
        </w:rPr>
        <w:t xml:space="preserve">EV Charging Infrastructure Deployment </w:t>
      </w:r>
      <w:bookmarkEnd w:id="9"/>
      <w:r w:rsidR="00972C3A" w:rsidRPr="0031107E">
        <w:rPr>
          <w:color w:val="auto"/>
          <w:sz w:val="24"/>
          <w:szCs w:val="24"/>
        </w:rPr>
        <w:t>[</w:t>
      </w:r>
      <w:r w:rsidR="0061236D">
        <w:rPr>
          <w:color w:val="auto"/>
          <w:sz w:val="24"/>
          <w:szCs w:val="24"/>
        </w:rPr>
        <w:t>REQUIRED</w:t>
      </w:r>
      <w:r w:rsidR="008F1F0A">
        <w:rPr>
          <w:color w:val="auto"/>
        </w:rPr>
        <w:t xml:space="preserve"> </w:t>
      </w:r>
      <w:r w:rsidR="008F1F0A" w:rsidRPr="006C46AF">
        <w:rPr>
          <w:color w:val="auto"/>
          <w:sz w:val="24"/>
          <w:szCs w:val="24"/>
        </w:rPr>
        <w:t xml:space="preserve">- 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972C3A" w:rsidRPr="0031107E">
        <w:rPr>
          <w:color w:val="auto"/>
          <w:sz w:val="24"/>
          <w:szCs w:val="24"/>
        </w:rPr>
        <w:t>]</w:t>
      </w:r>
      <w:r w:rsidR="00972C3A" w:rsidRPr="0031107E">
        <w:rPr>
          <w:color w:val="auto"/>
        </w:rPr>
        <w:t xml:space="preserve">  </w:t>
      </w:r>
    </w:p>
    <w:p w14:paraId="136BAD32" w14:textId="39471BF8" w:rsidR="008E4B39" w:rsidRPr="00185B9B" w:rsidRDefault="008E4B39" w:rsidP="008E4B39">
      <w:r w:rsidRPr="00185B9B">
        <w:t xml:space="preserve">&lt;Insert </w:t>
      </w:r>
      <w:r w:rsidR="00CF3068">
        <w:t xml:space="preserve">updates to </w:t>
      </w:r>
      <w:r w:rsidRPr="00185B9B">
        <w:t>overview here</w:t>
      </w:r>
      <w:r w:rsidR="00E31969">
        <w:t>. This section should discuss the overarching strategy for EV charging infrastructure installations and associated policies to meet the vision and goals of the Plan.</w:t>
      </w:r>
      <w:r w:rsidR="0036031F">
        <w:t xml:space="preserve"> This section should include a discussion on the sources of funding for the non-federal share to match the NEVI Formula Program funds, as well as other funding sources used for </w:t>
      </w:r>
      <w:r w:rsidR="001D6760">
        <w:t>EV supply equipment (</w:t>
      </w:r>
      <w:r w:rsidR="0036031F">
        <w:t>EVSE</w:t>
      </w:r>
      <w:r w:rsidR="001D6760">
        <w:t>)</w:t>
      </w:r>
      <w:r w:rsidR="0036031F">
        <w:t xml:space="preserve"> deployment in the State.  This section should also </w:t>
      </w:r>
      <w:r w:rsidR="0036031F" w:rsidRPr="00185B9B">
        <w:t>discuss policy considerations/coordination</w:t>
      </w:r>
      <w:r w:rsidR="0036031F">
        <w:t xml:space="preserve"> to</w:t>
      </w:r>
      <w:r w:rsidR="0036031F" w:rsidRPr="00185B9B">
        <w:t xml:space="preserve"> include zoning, permitting, or education</w:t>
      </w:r>
      <w:r w:rsidR="0036031F">
        <w:t xml:space="preserve"> policy</w:t>
      </w:r>
      <w:r w:rsidR="0036031F" w:rsidRPr="00185B9B">
        <w:t>.</w:t>
      </w:r>
      <w:r w:rsidRPr="00185B9B">
        <w:t>&gt;</w:t>
      </w:r>
    </w:p>
    <w:p w14:paraId="452BE9BE" w14:textId="22E71F87" w:rsidR="00FB0379" w:rsidRDefault="00FB0379" w:rsidP="00BD76FC"/>
    <w:p w14:paraId="0AD0F0D7" w14:textId="60F0EEFF" w:rsidR="0036031F" w:rsidRDefault="0036031F" w:rsidP="00B305F0">
      <w:pPr>
        <w:pStyle w:val="FHWAParagraghHeading"/>
        <w:ind w:left="720"/>
      </w:pPr>
      <w:r>
        <w:t>Planned Charging Stations</w:t>
      </w:r>
      <w:r w:rsidR="003B3290">
        <w:t xml:space="preserve"> </w:t>
      </w:r>
      <w:r w:rsidR="00972C3A" w:rsidRPr="0031107E">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00972C3A" w:rsidRPr="0031107E">
        <w:rPr>
          <w:color w:val="auto"/>
        </w:rPr>
        <w:t xml:space="preserve">]  </w:t>
      </w:r>
    </w:p>
    <w:p w14:paraId="42C15635" w14:textId="394D6C95" w:rsidR="0036031F" w:rsidRDefault="0036031F" w:rsidP="00B305F0">
      <w:pPr>
        <w:ind w:left="720"/>
      </w:pPr>
      <w:r>
        <w:t xml:space="preserve">&lt;Include a discussion of how the State </w:t>
      </w:r>
      <w:r w:rsidR="008F0B39">
        <w:t xml:space="preserve">intends </w:t>
      </w:r>
      <w:r>
        <w:t>to use</w:t>
      </w:r>
      <w:r w:rsidR="008F0B39">
        <w:t xml:space="preserve"> their</w:t>
      </w:r>
      <w:r>
        <w:t xml:space="preserve"> NEVI funding for deployment of EVSE</w:t>
      </w:r>
      <w:r w:rsidR="008F0B39">
        <w:t>. This discussion should</w:t>
      </w:r>
      <w:r>
        <w:t xml:space="preserve"> include details about </w:t>
      </w:r>
      <w:proofErr w:type="gramStart"/>
      <w:r w:rsidR="008F0B39">
        <w:t xml:space="preserve">both </w:t>
      </w:r>
      <w:r>
        <w:t xml:space="preserve"> stations</w:t>
      </w:r>
      <w:proofErr w:type="gramEnd"/>
      <w:r>
        <w:t xml:space="preserve"> under construction and future stations. Information about stations under construction should identify characteristics of those stations under construction at the time of Plan update approval. Information provided about future stations should illustrate characteristics about those stations that are anticipated to go under construction after Plan update approval. </w:t>
      </w:r>
      <w:r w:rsidR="008F0B39">
        <w:t>Tables and maps should be used to illustrate c</w:t>
      </w:r>
      <w:r>
        <w:t>haracteristics describing each station</w:t>
      </w:r>
      <w:r w:rsidR="008F0B39">
        <w:t xml:space="preserve">. These station </w:t>
      </w:r>
      <w:proofErr w:type="gramStart"/>
      <w:r w:rsidR="008F0B39">
        <w:t>characteristics</w:t>
      </w:r>
      <w:r>
        <w:t xml:space="preserve"> </w:t>
      </w:r>
      <w:r w:rsidR="008F0B39">
        <w:t xml:space="preserve"> should</w:t>
      </w:r>
      <w:proofErr w:type="gramEnd"/>
      <w:r w:rsidR="008F0B39">
        <w:t xml:space="preserve"> include</w:t>
      </w:r>
      <w:r>
        <w:t>, at a minimum: the general anticipated location of the charging stations, the anticipated number of ports at each charging station, and the anticipated year that each station will be operational.&gt;</w:t>
      </w:r>
    </w:p>
    <w:p w14:paraId="5294BBEE" w14:textId="2EFA7CE4" w:rsidR="0036031F" w:rsidRDefault="0036031F" w:rsidP="00B305F0">
      <w:pPr>
        <w:ind w:left="720"/>
      </w:pPr>
    </w:p>
    <w:p w14:paraId="2D97DEE3" w14:textId="30AFCF08" w:rsidR="0036031F" w:rsidRDefault="0036031F" w:rsidP="00B305F0">
      <w:pPr>
        <w:ind w:left="720"/>
      </w:pPr>
      <w:r>
        <w:t>Stations Under Construction</w:t>
      </w:r>
    </w:p>
    <w:tbl>
      <w:tblPr>
        <w:tblW w:w="0" w:type="auto"/>
        <w:tblInd w:w="720" w:type="dxa"/>
        <w:tblCellMar>
          <w:left w:w="0" w:type="dxa"/>
          <w:right w:w="0" w:type="dxa"/>
        </w:tblCellMar>
        <w:tblLook w:val="04A0" w:firstRow="1" w:lastRow="0" w:firstColumn="1" w:lastColumn="0" w:noHBand="0" w:noVBand="1"/>
      </w:tblPr>
      <w:tblGrid>
        <w:gridCol w:w="1035"/>
        <w:gridCol w:w="935"/>
        <w:gridCol w:w="998"/>
        <w:gridCol w:w="951"/>
        <w:gridCol w:w="1280"/>
        <w:gridCol w:w="961"/>
        <w:gridCol w:w="1335"/>
        <w:gridCol w:w="1082"/>
      </w:tblGrid>
      <w:tr w:rsidR="00F64F72" w14:paraId="4BBB0C1D" w14:textId="77777777" w:rsidTr="00B44681">
        <w:tc>
          <w:tcPr>
            <w:tcW w:w="1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E85A7" w14:textId="77777777" w:rsidR="0036031F" w:rsidRDefault="0036031F">
            <w:r>
              <w:t>State EV Charging Location Unique ID</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A33AD" w14:textId="77777777" w:rsidR="0036031F" w:rsidRDefault="0036031F">
            <w:r>
              <w:t>Route (note if AFC)</w:t>
            </w:r>
          </w:p>
        </w:tc>
        <w:tc>
          <w:tcPr>
            <w:tcW w:w="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D7625" w14:textId="01103742" w:rsidR="0036031F" w:rsidRDefault="0036031F">
            <w:r>
              <w:t>Location</w:t>
            </w:r>
            <w:r w:rsidR="001C14C0">
              <w:t xml:space="preserve"> (street address, if known)</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A64DA" w14:textId="77777777" w:rsidR="0036031F" w:rsidRDefault="0036031F">
            <w:r>
              <w:t>Number of Ports</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BB8F8" w14:textId="77777777" w:rsidR="0036031F" w:rsidRDefault="0036031F">
            <w:r>
              <w:t>Estimated Year Operational</w:t>
            </w:r>
          </w:p>
        </w:tc>
        <w:tc>
          <w:tcPr>
            <w:tcW w:w="961" w:type="dxa"/>
            <w:tcBorders>
              <w:top w:val="single" w:sz="8" w:space="0" w:color="auto"/>
              <w:left w:val="nil"/>
              <w:bottom w:val="single" w:sz="8" w:space="0" w:color="auto"/>
              <w:right w:val="single" w:sz="8" w:space="0" w:color="auto"/>
            </w:tcBorders>
            <w:hideMark/>
          </w:tcPr>
          <w:p w14:paraId="0DB3B74C" w14:textId="77777777" w:rsidR="0036031F" w:rsidRDefault="0036031F">
            <w:r>
              <w:t>Estimated Cost</w:t>
            </w:r>
          </w:p>
        </w:tc>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B90BD" w14:textId="77777777" w:rsidR="0036031F" w:rsidRDefault="0036031F">
            <w:r>
              <w:t xml:space="preserve">NEVI Funding Sources (Choose No NEVI, FY22/FY23, </w:t>
            </w:r>
            <w:r>
              <w:lastRenderedPageBreak/>
              <w:t>FY24, FY25, FY26, or FY27+)</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C69FD" w14:textId="77777777" w:rsidR="0036031F" w:rsidRDefault="0036031F">
            <w:r>
              <w:lastRenderedPageBreak/>
              <w:t>New Location or Upgrade?</w:t>
            </w:r>
          </w:p>
        </w:tc>
      </w:tr>
      <w:tr w:rsidR="00F64F72" w14:paraId="1B5426FA" w14:textId="77777777" w:rsidTr="00B44681">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CA274" w14:textId="77777777" w:rsidR="0036031F" w:rsidRDefault="0036031F"/>
        </w:tc>
        <w:tc>
          <w:tcPr>
            <w:tcW w:w="935" w:type="dxa"/>
            <w:tcBorders>
              <w:top w:val="nil"/>
              <w:left w:val="nil"/>
              <w:bottom w:val="single" w:sz="8" w:space="0" w:color="auto"/>
              <w:right w:val="single" w:sz="8" w:space="0" w:color="auto"/>
            </w:tcBorders>
            <w:tcMar>
              <w:top w:w="0" w:type="dxa"/>
              <w:left w:w="108" w:type="dxa"/>
              <w:bottom w:w="0" w:type="dxa"/>
              <w:right w:w="108" w:type="dxa"/>
            </w:tcMar>
          </w:tcPr>
          <w:p w14:paraId="028127E4" w14:textId="77777777" w:rsidR="0036031F" w:rsidRDefault="0036031F"/>
        </w:tc>
        <w:tc>
          <w:tcPr>
            <w:tcW w:w="998" w:type="dxa"/>
            <w:tcBorders>
              <w:top w:val="nil"/>
              <w:left w:val="nil"/>
              <w:bottom w:val="single" w:sz="8" w:space="0" w:color="auto"/>
              <w:right w:val="single" w:sz="8" w:space="0" w:color="auto"/>
            </w:tcBorders>
            <w:tcMar>
              <w:top w:w="0" w:type="dxa"/>
              <w:left w:w="108" w:type="dxa"/>
              <w:bottom w:w="0" w:type="dxa"/>
              <w:right w:w="108" w:type="dxa"/>
            </w:tcMar>
          </w:tcPr>
          <w:p w14:paraId="2FE410F3" w14:textId="77777777" w:rsidR="0036031F" w:rsidRDefault="0036031F"/>
        </w:tc>
        <w:tc>
          <w:tcPr>
            <w:tcW w:w="951" w:type="dxa"/>
            <w:tcBorders>
              <w:top w:val="nil"/>
              <w:left w:val="nil"/>
              <w:bottom w:val="single" w:sz="8" w:space="0" w:color="auto"/>
              <w:right w:val="single" w:sz="8" w:space="0" w:color="auto"/>
            </w:tcBorders>
            <w:tcMar>
              <w:top w:w="0" w:type="dxa"/>
              <w:left w:w="108" w:type="dxa"/>
              <w:bottom w:w="0" w:type="dxa"/>
              <w:right w:w="108" w:type="dxa"/>
            </w:tcMar>
          </w:tcPr>
          <w:p w14:paraId="5B6AF9D1" w14:textId="77777777" w:rsidR="0036031F" w:rsidRDefault="0036031F"/>
        </w:tc>
        <w:tc>
          <w:tcPr>
            <w:tcW w:w="1280" w:type="dxa"/>
            <w:tcBorders>
              <w:top w:val="nil"/>
              <w:left w:val="nil"/>
              <w:bottom w:val="single" w:sz="8" w:space="0" w:color="auto"/>
              <w:right w:val="single" w:sz="8" w:space="0" w:color="auto"/>
            </w:tcBorders>
            <w:tcMar>
              <w:top w:w="0" w:type="dxa"/>
              <w:left w:w="108" w:type="dxa"/>
              <w:bottom w:w="0" w:type="dxa"/>
              <w:right w:w="108" w:type="dxa"/>
            </w:tcMar>
          </w:tcPr>
          <w:p w14:paraId="31FEB8F8" w14:textId="77777777" w:rsidR="0036031F" w:rsidRDefault="0036031F"/>
        </w:tc>
        <w:tc>
          <w:tcPr>
            <w:tcW w:w="961" w:type="dxa"/>
            <w:tcBorders>
              <w:top w:val="single" w:sz="8" w:space="0" w:color="auto"/>
              <w:left w:val="nil"/>
              <w:bottom w:val="single" w:sz="8" w:space="0" w:color="auto"/>
              <w:right w:val="single" w:sz="8" w:space="0" w:color="auto"/>
            </w:tcBorders>
          </w:tcPr>
          <w:p w14:paraId="140AC71B" w14:textId="77777777" w:rsidR="0036031F" w:rsidRDefault="0036031F"/>
        </w:tc>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851572" w14:textId="77777777" w:rsidR="0036031F" w:rsidRDefault="0036031F"/>
        </w:tc>
        <w:tc>
          <w:tcPr>
            <w:tcW w:w="1082" w:type="dxa"/>
            <w:tcBorders>
              <w:top w:val="nil"/>
              <w:left w:val="nil"/>
              <w:bottom w:val="single" w:sz="8" w:space="0" w:color="auto"/>
              <w:right w:val="single" w:sz="8" w:space="0" w:color="auto"/>
            </w:tcBorders>
            <w:tcMar>
              <w:top w:w="0" w:type="dxa"/>
              <w:left w:w="108" w:type="dxa"/>
              <w:bottom w:w="0" w:type="dxa"/>
              <w:right w:w="108" w:type="dxa"/>
            </w:tcMar>
          </w:tcPr>
          <w:p w14:paraId="1894B0ED" w14:textId="77777777" w:rsidR="0036031F" w:rsidRDefault="0036031F"/>
        </w:tc>
      </w:tr>
    </w:tbl>
    <w:p w14:paraId="0668051D" w14:textId="77777777" w:rsidR="0036031F" w:rsidRDefault="0036031F" w:rsidP="00B305F0">
      <w:pPr>
        <w:ind w:left="720"/>
        <w:rPr>
          <w:rFonts w:ascii="Calibri" w:eastAsiaTheme="minorHAnsi" w:hAnsi="Calibri" w:cs="Calibri"/>
        </w:rPr>
      </w:pPr>
    </w:p>
    <w:p w14:paraId="5F98D72A" w14:textId="1DBCEA59" w:rsidR="0036031F" w:rsidRDefault="0036031F" w:rsidP="00B305F0">
      <w:pPr>
        <w:ind w:left="720"/>
      </w:pPr>
      <w:r>
        <w:t>Planned Stations</w:t>
      </w:r>
    </w:p>
    <w:tbl>
      <w:tblPr>
        <w:tblW w:w="0" w:type="auto"/>
        <w:tblInd w:w="720" w:type="dxa"/>
        <w:tblCellMar>
          <w:left w:w="0" w:type="dxa"/>
          <w:right w:w="0" w:type="dxa"/>
        </w:tblCellMar>
        <w:tblLook w:val="04A0" w:firstRow="1" w:lastRow="0" w:firstColumn="1" w:lastColumn="0" w:noHBand="0" w:noVBand="1"/>
      </w:tblPr>
      <w:tblGrid>
        <w:gridCol w:w="1035"/>
        <w:gridCol w:w="935"/>
        <w:gridCol w:w="998"/>
        <w:gridCol w:w="951"/>
        <w:gridCol w:w="1280"/>
        <w:gridCol w:w="961"/>
        <w:gridCol w:w="1335"/>
        <w:gridCol w:w="1082"/>
      </w:tblGrid>
      <w:tr w:rsidR="00F64F72" w14:paraId="2508714D" w14:textId="77777777" w:rsidTr="00B44681">
        <w:tc>
          <w:tcPr>
            <w:tcW w:w="1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8357DA" w14:textId="77777777" w:rsidR="0036031F" w:rsidRDefault="0036031F">
            <w:r>
              <w:t>State EV Charging Location Unique ID</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E07C3" w14:textId="77777777" w:rsidR="0036031F" w:rsidRDefault="0036031F">
            <w:r>
              <w:t>Route (note if AFC)</w:t>
            </w:r>
          </w:p>
        </w:tc>
        <w:tc>
          <w:tcPr>
            <w:tcW w:w="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C74D7" w14:textId="5C3021EF" w:rsidR="0036031F" w:rsidRDefault="0036031F">
            <w:r>
              <w:t>Location</w:t>
            </w:r>
            <w:r w:rsidR="001C14C0">
              <w:t xml:space="preserve"> (street address, if known)</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B545E" w14:textId="77777777" w:rsidR="0036031F" w:rsidRDefault="0036031F">
            <w:r>
              <w:t>Number of Ports</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06228" w14:textId="77777777" w:rsidR="0036031F" w:rsidRDefault="0036031F">
            <w:r>
              <w:t>Estimated Year Operational</w:t>
            </w:r>
          </w:p>
        </w:tc>
        <w:tc>
          <w:tcPr>
            <w:tcW w:w="961" w:type="dxa"/>
            <w:tcBorders>
              <w:top w:val="single" w:sz="8" w:space="0" w:color="auto"/>
              <w:left w:val="nil"/>
              <w:bottom w:val="single" w:sz="8" w:space="0" w:color="auto"/>
              <w:right w:val="single" w:sz="8" w:space="0" w:color="auto"/>
            </w:tcBorders>
            <w:hideMark/>
          </w:tcPr>
          <w:p w14:paraId="6B92615C" w14:textId="77777777" w:rsidR="0036031F" w:rsidRDefault="0036031F">
            <w:r>
              <w:t>Estimated Cost</w:t>
            </w:r>
          </w:p>
        </w:tc>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ADF58A" w14:textId="77777777" w:rsidR="0036031F" w:rsidRDefault="0036031F">
            <w:r>
              <w:t>NEVI Funding Sources (Choose No NEVI, FY22/FY23, FY24, FY25, FY26, or FY27+)</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1975B" w14:textId="32514A09" w:rsidR="0036031F" w:rsidRDefault="0036031F">
            <w:r>
              <w:t>New Location or Upgrade?</w:t>
            </w:r>
          </w:p>
        </w:tc>
      </w:tr>
      <w:tr w:rsidR="00F64F72" w14:paraId="201FF2FD" w14:textId="77777777" w:rsidTr="00B44681">
        <w:tc>
          <w:tcPr>
            <w:tcW w:w="1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F5862" w14:textId="77777777" w:rsidR="0036031F" w:rsidRDefault="0036031F"/>
        </w:tc>
        <w:tc>
          <w:tcPr>
            <w:tcW w:w="935" w:type="dxa"/>
            <w:tcBorders>
              <w:top w:val="nil"/>
              <w:left w:val="nil"/>
              <w:bottom w:val="single" w:sz="8" w:space="0" w:color="auto"/>
              <w:right w:val="single" w:sz="8" w:space="0" w:color="auto"/>
            </w:tcBorders>
            <w:tcMar>
              <w:top w:w="0" w:type="dxa"/>
              <w:left w:w="108" w:type="dxa"/>
              <w:bottom w:w="0" w:type="dxa"/>
              <w:right w:w="108" w:type="dxa"/>
            </w:tcMar>
          </w:tcPr>
          <w:p w14:paraId="2C1E9765" w14:textId="77777777" w:rsidR="0036031F" w:rsidRDefault="0036031F"/>
        </w:tc>
        <w:tc>
          <w:tcPr>
            <w:tcW w:w="998" w:type="dxa"/>
            <w:tcBorders>
              <w:top w:val="nil"/>
              <w:left w:val="nil"/>
              <w:bottom w:val="single" w:sz="8" w:space="0" w:color="auto"/>
              <w:right w:val="single" w:sz="8" w:space="0" w:color="auto"/>
            </w:tcBorders>
            <w:tcMar>
              <w:top w:w="0" w:type="dxa"/>
              <w:left w:w="108" w:type="dxa"/>
              <w:bottom w:w="0" w:type="dxa"/>
              <w:right w:w="108" w:type="dxa"/>
            </w:tcMar>
          </w:tcPr>
          <w:p w14:paraId="2CA2D7D5" w14:textId="77777777" w:rsidR="0036031F" w:rsidRDefault="0036031F"/>
        </w:tc>
        <w:tc>
          <w:tcPr>
            <w:tcW w:w="951" w:type="dxa"/>
            <w:tcBorders>
              <w:top w:val="nil"/>
              <w:left w:val="nil"/>
              <w:bottom w:val="single" w:sz="8" w:space="0" w:color="auto"/>
              <w:right w:val="single" w:sz="8" w:space="0" w:color="auto"/>
            </w:tcBorders>
            <w:tcMar>
              <w:top w:w="0" w:type="dxa"/>
              <w:left w:w="108" w:type="dxa"/>
              <w:bottom w:w="0" w:type="dxa"/>
              <w:right w:w="108" w:type="dxa"/>
            </w:tcMar>
          </w:tcPr>
          <w:p w14:paraId="7E3ECD8F" w14:textId="77777777" w:rsidR="0036031F" w:rsidRDefault="0036031F"/>
        </w:tc>
        <w:tc>
          <w:tcPr>
            <w:tcW w:w="1280" w:type="dxa"/>
            <w:tcBorders>
              <w:top w:val="nil"/>
              <w:left w:val="nil"/>
              <w:bottom w:val="single" w:sz="8" w:space="0" w:color="auto"/>
              <w:right w:val="single" w:sz="8" w:space="0" w:color="auto"/>
            </w:tcBorders>
            <w:tcMar>
              <w:top w:w="0" w:type="dxa"/>
              <w:left w:w="108" w:type="dxa"/>
              <w:bottom w:w="0" w:type="dxa"/>
              <w:right w:w="108" w:type="dxa"/>
            </w:tcMar>
          </w:tcPr>
          <w:p w14:paraId="4A60D638" w14:textId="77777777" w:rsidR="0036031F" w:rsidRDefault="0036031F"/>
        </w:tc>
        <w:tc>
          <w:tcPr>
            <w:tcW w:w="961" w:type="dxa"/>
            <w:tcBorders>
              <w:top w:val="single" w:sz="8" w:space="0" w:color="auto"/>
              <w:left w:val="nil"/>
              <w:bottom w:val="single" w:sz="8" w:space="0" w:color="auto"/>
              <w:right w:val="single" w:sz="8" w:space="0" w:color="auto"/>
            </w:tcBorders>
          </w:tcPr>
          <w:p w14:paraId="0006F226" w14:textId="77777777" w:rsidR="0036031F" w:rsidRDefault="0036031F"/>
        </w:tc>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43A14" w14:textId="77777777" w:rsidR="0036031F" w:rsidRDefault="0036031F"/>
        </w:tc>
        <w:tc>
          <w:tcPr>
            <w:tcW w:w="1082" w:type="dxa"/>
            <w:tcBorders>
              <w:top w:val="nil"/>
              <w:left w:val="nil"/>
              <w:bottom w:val="single" w:sz="8" w:space="0" w:color="auto"/>
              <w:right w:val="single" w:sz="8" w:space="0" w:color="auto"/>
            </w:tcBorders>
            <w:tcMar>
              <w:top w:w="0" w:type="dxa"/>
              <w:left w:w="108" w:type="dxa"/>
              <w:bottom w:w="0" w:type="dxa"/>
              <w:right w:w="108" w:type="dxa"/>
            </w:tcMar>
          </w:tcPr>
          <w:p w14:paraId="5CB4D36D" w14:textId="77777777" w:rsidR="0036031F" w:rsidRDefault="0036031F"/>
        </w:tc>
      </w:tr>
    </w:tbl>
    <w:p w14:paraId="5A961217" w14:textId="63CDC1B9" w:rsidR="0036031F" w:rsidRDefault="0036031F" w:rsidP="00B305F0">
      <w:pPr>
        <w:ind w:left="720"/>
      </w:pPr>
    </w:p>
    <w:p w14:paraId="3CB3941F" w14:textId="0CEB79EB" w:rsidR="00BB3CFD" w:rsidRDefault="00AD7F80" w:rsidP="00B44681">
      <w:pPr>
        <w:ind w:left="1440"/>
        <w:rPr>
          <w:highlight w:val="yellow"/>
        </w:rPr>
      </w:pPr>
      <w:r>
        <w:rPr>
          <w:noProof/>
          <w:color w:val="FF0000"/>
        </w:rPr>
        <mc:AlternateContent>
          <mc:Choice Requires="wps">
            <w:drawing>
              <wp:anchor distT="0" distB="0" distL="114300" distR="114300" simplePos="0" relativeHeight="251658241" behindDoc="1" locked="0" layoutInCell="1" allowOverlap="1" wp14:anchorId="0855D5C5" wp14:editId="4D07927E">
                <wp:simplePos x="0" y="0"/>
                <wp:positionH relativeFrom="margin">
                  <wp:posOffset>544195</wp:posOffset>
                </wp:positionH>
                <wp:positionV relativeFrom="paragraph">
                  <wp:posOffset>165735</wp:posOffset>
                </wp:positionV>
                <wp:extent cx="4833620" cy="1295400"/>
                <wp:effectExtent l="0" t="0" r="24130" b="19050"/>
                <wp:wrapTight wrapText="bothSides">
                  <wp:wrapPolygon edited="0">
                    <wp:start x="0" y="0"/>
                    <wp:lineTo x="0" y="21600"/>
                    <wp:lineTo x="21623" y="21600"/>
                    <wp:lineTo x="21623" y="0"/>
                    <wp:lineTo x="0" y="0"/>
                  </wp:wrapPolygon>
                </wp:wrapTight>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33620" cy="1295400"/>
                        </a:xfrm>
                        <a:prstGeom prst="rect">
                          <a:avLst/>
                        </a:prstGeom>
                        <a:solidFill>
                          <a:schemeClr val="lt1"/>
                        </a:solidFill>
                        <a:ln w="6350">
                          <a:solidFill>
                            <a:schemeClr val="accent6">
                              <a:lumMod val="75000"/>
                            </a:schemeClr>
                          </a:solidFill>
                        </a:ln>
                      </wps:spPr>
                      <wps:txbx>
                        <w:txbxContent>
                          <w:p w14:paraId="5B6F9771" w14:textId="2BEFC022" w:rsidR="00C7252B" w:rsidRDefault="00C7252B" w:rsidP="00C7252B">
                            <w:pPr>
                              <w:jc w:val="center"/>
                            </w:pPr>
                            <w:r w:rsidRPr="00185B9B">
                              <w:t>&lt; INSERT MAP(S) OF FY22’S EVSE DEPLOYMENTS</w:t>
                            </w:r>
                            <w:r w:rsidR="00BD6BAF" w:rsidRPr="00185B9B">
                              <w:t>/UPGRADES</w:t>
                            </w:r>
                            <w:r w:rsidR="001001B0">
                              <w:t xml:space="preserve"> SHOWING:</w:t>
                            </w:r>
                          </w:p>
                          <w:p w14:paraId="2D80EB11" w14:textId="77777777" w:rsidR="001001B0" w:rsidRPr="001001B0" w:rsidRDefault="001001B0" w:rsidP="001001B0">
                            <w:pPr>
                              <w:pStyle w:val="ListParagraph"/>
                              <w:numPr>
                                <w:ilvl w:val="0"/>
                                <w:numId w:val="33"/>
                              </w:numPr>
                            </w:pPr>
                            <w:r w:rsidRPr="001001B0">
                              <w:t xml:space="preserve">Approximate locations of planned EV charging </w:t>
                            </w:r>
                            <w:proofErr w:type="gramStart"/>
                            <w:r w:rsidRPr="001001B0">
                              <w:t>infrastructure;</w:t>
                            </w:r>
                            <w:proofErr w:type="gramEnd"/>
                          </w:p>
                          <w:p w14:paraId="45C6B5E1" w14:textId="205844A9" w:rsidR="001001B0" w:rsidRPr="001001B0" w:rsidRDefault="001001B0" w:rsidP="001001B0">
                            <w:pPr>
                              <w:pStyle w:val="ListParagraph"/>
                              <w:numPr>
                                <w:ilvl w:val="0"/>
                                <w:numId w:val="33"/>
                              </w:numPr>
                            </w:pPr>
                            <w:r w:rsidRPr="001001B0">
                              <w:t>Approximate locations of existing EV charging infrastructure along those corridors, specifically noting existing EV charging infrastructure targeted for upgrade or improvement to meet the requirements of the NEVI programs;</w:t>
                            </w:r>
                            <w:r w:rsidR="00D8795F">
                              <w:t>&gt;</w:t>
                            </w:r>
                          </w:p>
                          <w:p w14:paraId="6311C42F" w14:textId="53CAE7BE" w:rsidR="00C7252B" w:rsidRDefault="001001B0" w:rsidP="00B305F0">
                            <w:r w:rsidRPr="001001B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D5C5" id="Text Box 18" o:spid="_x0000_s1028" type="#_x0000_t202" alt="&quot;&quot;" style="position:absolute;left:0;text-align:left;margin-left:42.85pt;margin-top:13.05pt;width:380.6pt;height:10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" fillcolor="white [3201]" strokecolor="#538135 [2409]" strokeweight=".5pt">
                <v:textbox>
                  <w:txbxContent>
                    <w:p w14:paraId="5B6F9771" w14:textId="2BEFC022" w:rsidR="00C7252B" w:rsidRDefault="00C7252B" w:rsidP="00C7252B">
                      <w:pPr>
                        <w:jc w:val="center"/>
                      </w:pPr>
                      <w:r w:rsidRPr="00185B9B">
                        <w:t>&lt; INSERT MAP(S) OF FY22’S EVSE DEPLOYMENTS</w:t>
                      </w:r>
                      <w:r w:rsidR="00BD6BAF" w:rsidRPr="00185B9B">
                        <w:t>/UPGRADES</w:t>
                      </w:r>
                      <w:r w:rsidR="001001B0">
                        <w:t xml:space="preserve"> SHOWING:</w:t>
                      </w:r>
                    </w:p>
                    <w:p w14:paraId="2D80EB11" w14:textId="77777777" w:rsidR="001001B0" w:rsidRPr="001001B0" w:rsidRDefault="001001B0" w:rsidP="001001B0">
                      <w:pPr>
                        <w:pStyle w:val="ListParagraph"/>
                        <w:numPr>
                          <w:ilvl w:val="0"/>
                          <w:numId w:val="33"/>
                        </w:numPr>
                      </w:pPr>
                      <w:r w:rsidRPr="001001B0">
                        <w:t xml:space="preserve">Approximate locations of planned EV charging </w:t>
                      </w:r>
                      <w:proofErr w:type="gramStart"/>
                      <w:r w:rsidRPr="001001B0">
                        <w:t>infrastructure;</w:t>
                      </w:r>
                      <w:proofErr w:type="gramEnd"/>
                    </w:p>
                    <w:p w14:paraId="45C6B5E1" w14:textId="205844A9" w:rsidR="001001B0" w:rsidRPr="001001B0" w:rsidRDefault="001001B0" w:rsidP="001001B0">
                      <w:pPr>
                        <w:pStyle w:val="ListParagraph"/>
                        <w:numPr>
                          <w:ilvl w:val="0"/>
                          <w:numId w:val="33"/>
                        </w:numPr>
                      </w:pPr>
                      <w:r w:rsidRPr="001001B0">
                        <w:t>Approximate locations of existing EV charging infrastructure along those corridors, specifically noting existing EV charging infrastructure targeted for upgrade or improvement to meet the requirements of the NEVI programs;</w:t>
                      </w:r>
                      <w:r w:rsidR="00D8795F">
                        <w:t>&gt;</w:t>
                      </w:r>
                    </w:p>
                    <w:p w14:paraId="6311C42F" w14:textId="53CAE7BE" w:rsidR="00C7252B" w:rsidRDefault="001001B0" w:rsidP="00B305F0">
                      <w:r w:rsidRPr="001001B0">
                        <w:t xml:space="preserve">  </w:t>
                      </w:r>
                    </w:p>
                  </w:txbxContent>
                </v:textbox>
                <w10:wrap type="tight" anchorx="margin"/>
              </v:shape>
            </w:pict>
          </mc:Fallback>
        </mc:AlternateContent>
      </w:r>
    </w:p>
    <w:p w14:paraId="74AB42B9" w14:textId="0DC78D0D" w:rsidR="00C7252B" w:rsidRDefault="00C7252B" w:rsidP="00B305F0">
      <w:pPr>
        <w:ind w:left="720"/>
      </w:pPr>
    </w:p>
    <w:p w14:paraId="084EC400" w14:textId="2F50BD84" w:rsidR="00D346EE" w:rsidRDefault="00D346EE" w:rsidP="00B305F0">
      <w:pPr>
        <w:ind w:left="720"/>
      </w:pPr>
    </w:p>
    <w:p w14:paraId="478349AB" w14:textId="482D12D1" w:rsidR="00807E1A" w:rsidRDefault="00807E1A" w:rsidP="00B305F0">
      <w:pPr>
        <w:ind w:left="720"/>
      </w:pPr>
    </w:p>
    <w:p w14:paraId="5F501D97" w14:textId="77777777" w:rsidR="008132B8" w:rsidRDefault="008132B8" w:rsidP="00B305F0">
      <w:pPr>
        <w:ind w:left="720"/>
      </w:pPr>
    </w:p>
    <w:p w14:paraId="378FB8CB" w14:textId="2337021A" w:rsidR="0036031F" w:rsidRDefault="0036031F" w:rsidP="00B305F0">
      <w:pPr>
        <w:pStyle w:val="FHWAParagraghHeading"/>
        <w:ind w:left="720"/>
      </w:pPr>
      <w:bookmarkStart w:id="10" w:name="_Toc90022584"/>
      <w:r>
        <w:t>Planning Towards a Fully Built Out Determination</w:t>
      </w:r>
      <w:r w:rsidR="003B3290">
        <w:t xml:space="preserve"> </w:t>
      </w:r>
      <w:r w:rsidR="003B3290" w:rsidRPr="00B305F0">
        <w:rPr>
          <w:color w:val="auto"/>
        </w:rPr>
        <w:t>[</w:t>
      </w:r>
      <w:r w:rsidR="0061236D">
        <w:rPr>
          <w:color w:val="auto"/>
        </w:rPr>
        <w:t>REQUIRED</w:t>
      </w:r>
      <w:r w:rsidR="008F1F0A">
        <w:rPr>
          <w:color w:val="auto"/>
        </w:rPr>
        <w:t xml:space="preserve"> - Updated </w:t>
      </w:r>
      <w:r w:rsidR="00C67BCB">
        <w:rPr>
          <w:color w:val="auto"/>
        </w:rPr>
        <w:t>6/</w:t>
      </w:r>
      <w:r w:rsidR="0096757B">
        <w:rPr>
          <w:color w:val="auto"/>
        </w:rPr>
        <w:t>2</w:t>
      </w:r>
      <w:r w:rsidR="00C67BCB">
        <w:rPr>
          <w:color w:val="auto"/>
        </w:rPr>
        <w:t>/23</w:t>
      </w:r>
      <w:r w:rsidR="00972C3A" w:rsidRPr="0031107E">
        <w:rPr>
          <w:color w:val="auto"/>
        </w:rPr>
        <w:t xml:space="preserve">]  </w:t>
      </w:r>
    </w:p>
    <w:p w14:paraId="52111A72" w14:textId="26CBEBF6" w:rsidR="0036031F" w:rsidRDefault="0036031F" w:rsidP="00B305F0">
      <w:pPr>
        <w:ind w:left="720"/>
      </w:pPr>
      <w:r>
        <w:t>&lt; Insert a discussion describing the State’s strategy towards reaching a fully built out determination (see Section V-C of the NEVI Formula Program Guidance).</w:t>
      </w:r>
      <w:r w:rsidRPr="0036031F">
        <w:t xml:space="preserve"> </w:t>
      </w:r>
      <w:r>
        <w:t xml:space="preserve">This section should indicate how many additional stations (those </w:t>
      </w:r>
      <w:r w:rsidR="006C46AF">
        <w:t xml:space="preserve">stations that are not </w:t>
      </w:r>
      <w:r>
        <w:t>operational at the time of plan approval) the State estimates are needed to reach fully built out status</w:t>
      </w:r>
      <w:r w:rsidR="008132B8">
        <w:t>.</w:t>
      </w:r>
      <w:r w:rsidR="006C46AF">
        <w:t xml:space="preserve"> This section should also indicate the estimated timeframe when a State anticipates it will reach fully built out status.</w:t>
      </w:r>
      <w:r w:rsidR="00F92C4B">
        <w:t>&gt;</w:t>
      </w:r>
      <w:r w:rsidR="006C46AF">
        <w:t xml:space="preserve"> </w:t>
      </w:r>
    </w:p>
    <w:p w14:paraId="6A5E22ED" w14:textId="2686CE6F" w:rsidR="0036031F" w:rsidRDefault="0036031F" w:rsidP="00B44681"/>
    <w:p w14:paraId="58A1D699" w14:textId="2A65F765" w:rsidR="00107C73" w:rsidRPr="00E77BBB" w:rsidRDefault="00107C73" w:rsidP="00BD76FC">
      <w:pPr>
        <w:pStyle w:val="FHWASubtitle"/>
        <w:rPr>
          <w:color w:val="385623" w:themeColor="accent6" w:themeShade="80"/>
        </w:rPr>
      </w:pPr>
      <w:r w:rsidRPr="00E77BBB">
        <w:rPr>
          <w:color w:val="385623" w:themeColor="accent6" w:themeShade="80"/>
        </w:rPr>
        <w:t>Implementation</w:t>
      </w:r>
      <w:bookmarkEnd w:id="10"/>
      <w:r w:rsidR="008F1F0A">
        <w:rPr>
          <w:color w:val="385623" w:themeColor="accent6" w:themeShade="80"/>
        </w:rPr>
        <w:t xml:space="preserve"> </w:t>
      </w:r>
      <w:r w:rsidR="008F1F0A" w:rsidRPr="006C46AF">
        <w:rPr>
          <w:color w:val="auto"/>
          <w:sz w:val="24"/>
          <w:szCs w:val="24"/>
        </w:rPr>
        <w:t xml:space="preserve">[Updated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8F1F0A" w:rsidRPr="006C46AF">
        <w:rPr>
          <w:color w:val="auto"/>
          <w:sz w:val="24"/>
          <w:szCs w:val="24"/>
        </w:rPr>
        <w:t>]</w:t>
      </w:r>
      <w:r w:rsidR="003B3290" w:rsidRPr="00B44681">
        <w:rPr>
          <w:color w:val="auto"/>
        </w:rPr>
        <w:t xml:space="preserve">  </w:t>
      </w:r>
    </w:p>
    <w:p w14:paraId="56140382" w14:textId="4DD2B08D" w:rsidR="000F4874" w:rsidRPr="00185B9B" w:rsidRDefault="00FB0379" w:rsidP="00BD76FC">
      <w:r w:rsidRPr="00185B9B">
        <w:t xml:space="preserve">&lt;Insert </w:t>
      </w:r>
      <w:r w:rsidR="00CF3068">
        <w:t xml:space="preserve">updates to </w:t>
      </w:r>
      <w:r w:rsidRPr="00185B9B">
        <w:t xml:space="preserve">discussion here. </w:t>
      </w:r>
      <w:r w:rsidR="00E31969">
        <w:t xml:space="preserve">This section should include a discussion of the </w:t>
      </w:r>
      <w:r w:rsidR="00B34B78">
        <w:t>overall strategy to</w:t>
      </w:r>
      <w:r w:rsidR="00E31969">
        <w:t xml:space="preserve"> ensur</w:t>
      </w:r>
      <w:r w:rsidR="00B34B78">
        <w:t>e</w:t>
      </w:r>
      <w:r w:rsidR="00E31969">
        <w:t xml:space="preserve"> ongoing operations and maintenance of EV charging infrastructure</w:t>
      </w:r>
      <w:r w:rsidR="00B34B78">
        <w:t xml:space="preserve"> and data collection and sharing requirements</w:t>
      </w:r>
      <w:r w:rsidR="00E31969">
        <w:t xml:space="preserve">. </w:t>
      </w:r>
      <w:r w:rsidR="005F64CC">
        <w:t xml:space="preserve">This section should </w:t>
      </w:r>
      <w:r w:rsidR="005F64CC" w:rsidRPr="6AA2EF1C">
        <w:t>identify</w:t>
      </w:r>
      <w:r w:rsidR="005F64CC" w:rsidRPr="6AA2EF1C">
        <w:rPr>
          <w:spacing w:val="-20"/>
        </w:rPr>
        <w:t xml:space="preserve"> </w:t>
      </w:r>
      <w:r w:rsidR="005F64CC" w:rsidRPr="6AA2EF1C">
        <w:t>installation, maintenance,</w:t>
      </w:r>
      <w:r w:rsidR="005F64CC" w:rsidRPr="6AA2EF1C">
        <w:rPr>
          <w:spacing w:val="-17"/>
        </w:rPr>
        <w:t xml:space="preserve"> </w:t>
      </w:r>
      <w:r w:rsidR="005F64CC" w:rsidRPr="6AA2EF1C">
        <w:t>and</w:t>
      </w:r>
      <w:r w:rsidR="005F64CC" w:rsidRPr="6AA2EF1C">
        <w:rPr>
          <w:spacing w:val="-17"/>
        </w:rPr>
        <w:t xml:space="preserve"> </w:t>
      </w:r>
      <w:r w:rsidR="005F64CC" w:rsidRPr="6AA2EF1C">
        <w:t>ownership</w:t>
      </w:r>
      <w:r w:rsidR="005F64CC" w:rsidRPr="6AA2EF1C">
        <w:rPr>
          <w:spacing w:val="-17"/>
        </w:rPr>
        <w:t xml:space="preserve"> </w:t>
      </w:r>
      <w:r w:rsidR="005F64CC" w:rsidRPr="6AA2EF1C">
        <w:t>responsibilities</w:t>
      </w:r>
      <w:r w:rsidR="005F64CC" w:rsidRPr="6AA2EF1C">
        <w:rPr>
          <w:spacing w:val="-17"/>
        </w:rPr>
        <w:t xml:space="preserve"> </w:t>
      </w:r>
      <w:r w:rsidR="005F64CC" w:rsidRPr="6AA2EF1C">
        <w:t>for</w:t>
      </w:r>
      <w:r w:rsidR="005F64CC" w:rsidRPr="6AA2EF1C">
        <w:rPr>
          <w:spacing w:val="-17"/>
        </w:rPr>
        <w:t xml:space="preserve"> </w:t>
      </w:r>
      <w:r w:rsidR="005F64CC" w:rsidRPr="6AA2EF1C">
        <w:t>the</w:t>
      </w:r>
      <w:r w:rsidR="005F64CC" w:rsidRPr="6AA2EF1C">
        <w:rPr>
          <w:spacing w:val="-17"/>
        </w:rPr>
        <w:t xml:space="preserve"> </w:t>
      </w:r>
      <w:r w:rsidR="005F64CC" w:rsidRPr="6AA2EF1C">
        <w:t>charging</w:t>
      </w:r>
      <w:r w:rsidR="005F64CC" w:rsidRPr="6AA2EF1C">
        <w:rPr>
          <w:spacing w:val="-17"/>
        </w:rPr>
        <w:t xml:space="preserve"> </w:t>
      </w:r>
      <w:r w:rsidR="005F64CC" w:rsidRPr="6AA2EF1C">
        <w:t>infrastructure.</w:t>
      </w:r>
      <w:r w:rsidR="005F64CC" w:rsidRPr="6AA2EF1C">
        <w:rPr>
          <w:spacing w:val="40"/>
        </w:rPr>
        <w:t xml:space="preserve"> </w:t>
      </w:r>
      <w:r w:rsidR="005F64CC" w:rsidRPr="6AA2EF1C">
        <w:t>Th</w:t>
      </w:r>
      <w:r w:rsidR="005F64CC">
        <w:t>is section</w:t>
      </w:r>
      <w:r w:rsidR="005F64CC" w:rsidRPr="6AA2EF1C">
        <w:t xml:space="preserve"> should also demonstrate how the implementation </w:t>
      </w:r>
      <w:r w:rsidR="005F64CC" w:rsidRPr="6AA2EF1C">
        <w:rPr>
          <w:spacing w:val="-8"/>
        </w:rPr>
        <w:t>will</w:t>
      </w:r>
      <w:r w:rsidR="005F64CC" w:rsidRPr="6AA2EF1C">
        <w:rPr>
          <w:spacing w:val="-12"/>
        </w:rPr>
        <w:t xml:space="preserve"> </w:t>
      </w:r>
      <w:r w:rsidR="005F64CC" w:rsidRPr="6AA2EF1C">
        <w:rPr>
          <w:spacing w:val="-8"/>
        </w:rPr>
        <w:t>promote</w:t>
      </w:r>
      <w:r w:rsidR="005F64CC" w:rsidRPr="6AA2EF1C">
        <w:rPr>
          <w:spacing w:val="-12"/>
        </w:rPr>
        <w:t xml:space="preserve"> </w:t>
      </w:r>
      <w:r w:rsidR="005F64CC" w:rsidRPr="6AA2EF1C">
        <w:rPr>
          <w:spacing w:val="-8"/>
        </w:rPr>
        <w:t>strong</w:t>
      </w:r>
      <w:r w:rsidR="005F64CC" w:rsidRPr="6AA2EF1C">
        <w:rPr>
          <w:spacing w:val="-12"/>
        </w:rPr>
        <w:t xml:space="preserve"> </w:t>
      </w:r>
      <w:r w:rsidR="005F64CC" w:rsidRPr="6AA2EF1C">
        <w:rPr>
          <w:spacing w:val="-8"/>
        </w:rPr>
        <w:t>labor,</w:t>
      </w:r>
      <w:r w:rsidR="005F64CC" w:rsidRPr="6AA2EF1C">
        <w:rPr>
          <w:spacing w:val="-12"/>
        </w:rPr>
        <w:t xml:space="preserve"> </w:t>
      </w:r>
      <w:r w:rsidR="005F64CC" w:rsidRPr="6AA2EF1C">
        <w:rPr>
          <w:spacing w:val="-8"/>
        </w:rPr>
        <w:t>safety,</w:t>
      </w:r>
      <w:r w:rsidR="005F64CC" w:rsidRPr="6AA2EF1C">
        <w:rPr>
          <w:spacing w:val="-12"/>
        </w:rPr>
        <w:t xml:space="preserve"> </w:t>
      </w:r>
      <w:r w:rsidR="005F64CC" w:rsidRPr="6AA2EF1C">
        <w:rPr>
          <w:spacing w:val="-8"/>
        </w:rPr>
        <w:t>training,</w:t>
      </w:r>
      <w:r w:rsidR="005F64CC" w:rsidRPr="6AA2EF1C">
        <w:rPr>
          <w:spacing w:val="-12"/>
        </w:rPr>
        <w:t xml:space="preserve"> </w:t>
      </w:r>
      <w:r w:rsidR="005F64CC" w:rsidRPr="6AA2EF1C">
        <w:rPr>
          <w:spacing w:val="-8"/>
        </w:rPr>
        <w:t>and</w:t>
      </w:r>
      <w:r w:rsidR="005F64CC" w:rsidRPr="6AA2EF1C">
        <w:rPr>
          <w:spacing w:val="-12"/>
        </w:rPr>
        <w:t xml:space="preserve"> </w:t>
      </w:r>
      <w:r w:rsidR="005F64CC" w:rsidRPr="6AA2EF1C">
        <w:rPr>
          <w:spacing w:val="-8"/>
        </w:rPr>
        <w:t>installation</w:t>
      </w:r>
      <w:r w:rsidR="005F64CC" w:rsidRPr="6AA2EF1C">
        <w:rPr>
          <w:spacing w:val="-12"/>
        </w:rPr>
        <w:t xml:space="preserve"> </w:t>
      </w:r>
      <w:r w:rsidR="005F64CC" w:rsidRPr="6AA2EF1C">
        <w:rPr>
          <w:spacing w:val="-8"/>
        </w:rPr>
        <w:t>standards</w:t>
      </w:r>
      <w:r w:rsidR="005F64CC" w:rsidRPr="6AA2EF1C">
        <w:rPr>
          <w:spacing w:val="-12"/>
        </w:rPr>
        <w:t xml:space="preserve"> </w:t>
      </w:r>
      <w:r w:rsidR="005F64CC" w:rsidRPr="6AA2EF1C">
        <w:rPr>
          <w:spacing w:val="-8"/>
        </w:rPr>
        <w:t>as</w:t>
      </w:r>
      <w:r w:rsidR="005F64CC" w:rsidRPr="6AA2EF1C">
        <w:rPr>
          <w:spacing w:val="-12"/>
        </w:rPr>
        <w:t xml:space="preserve"> </w:t>
      </w:r>
      <w:r w:rsidR="005F64CC" w:rsidRPr="6AA2EF1C">
        <w:rPr>
          <w:spacing w:val="-8"/>
        </w:rPr>
        <w:t>well</w:t>
      </w:r>
      <w:r w:rsidR="005F64CC" w:rsidRPr="6AA2EF1C">
        <w:rPr>
          <w:spacing w:val="-12"/>
        </w:rPr>
        <w:t xml:space="preserve"> </w:t>
      </w:r>
      <w:r w:rsidR="005F64CC" w:rsidRPr="6AA2EF1C">
        <w:rPr>
          <w:spacing w:val="-8"/>
        </w:rPr>
        <w:t>as</w:t>
      </w:r>
      <w:r w:rsidR="005F64CC" w:rsidRPr="6AA2EF1C">
        <w:rPr>
          <w:spacing w:val="-12"/>
        </w:rPr>
        <w:t xml:space="preserve"> </w:t>
      </w:r>
      <w:r w:rsidR="005F64CC" w:rsidRPr="6AA2EF1C">
        <w:rPr>
          <w:spacing w:val="-8"/>
        </w:rPr>
        <w:t>opportunities</w:t>
      </w:r>
      <w:r w:rsidR="005F64CC" w:rsidRPr="6AA2EF1C">
        <w:rPr>
          <w:spacing w:val="-12"/>
        </w:rPr>
        <w:t xml:space="preserve"> </w:t>
      </w:r>
      <w:r w:rsidR="005F64CC" w:rsidRPr="6AA2EF1C">
        <w:rPr>
          <w:spacing w:val="-8"/>
        </w:rPr>
        <w:t>for</w:t>
      </w:r>
      <w:r w:rsidR="005F64CC" w:rsidRPr="6AA2EF1C">
        <w:rPr>
          <w:spacing w:val="-12"/>
        </w:rPr>
        <w:t xml:space="preserve"> </w:t>
      </w:r>
      <w:r w:rsidR="005F64CC" w:rsidRPr="6AA2EF1C">
        <w:rPr>
          <w:spacing w:val="-8"/>
        </w:rPr>
        <w:t xml:space="preserve">the </w:t>
      </w:r>
      <w:r w:rsidR="005F64CC" w:rsidRPr="6AA2EF1C">
        <w:t>participation</w:t>
      </w:r>
      <w:r w:rsidR="005F64CC" w:rsidRPr="6AA2EF1C">
        <w:rPr>
          <w:spacing w:val="-13"/>
        </w:rPr>
        <w:t xml:space="preserve"> </w:t>
      </w:r>
      <w:r w:rsidR="005F64CC" w:rsidRPr="6AA2EF1C">
        <w:t>of</w:t>
      </w:r>
      <w:r w:rsidR="005F64CC" w:rsidRPr="6AA2EF1C">
        <w:rPr>
          <w:spacing w:val="-13"/>
        </w:rPr>
        <w:t xml:space="preserve"> </w:t>
      </w:r>
      <w:r w:rsidR="005F64CC" w:rsidRPr="6AA2EF1C">
        <w:t>small</w:t>
      </w:r>
      <w:r w:rsidR="005F64CC" w:rsidRPr="6AA2EF1C">
        <w:rPr>
          <w:spacing w:val="-13"/>
        </w:rPr>
        <w:t xml:space="preserve"> </w:t>
      </w:r>
      <w:r w:rsidR="005F64CC" w:rsidRPr="6AA2EF1C">
        <w:t>businesses.</w:t>
      </w:r>
      <w:r w:rsidR="005F64CC" w:rsidRPr="6AA2EF1C">
        <w:rPr>
          <w:spacing w:val="-25"/>
        </w:rPr>
        <w:t xml:space="preserve"> </w:t>
      </w:r>
      <w:r w:rsidR="005F64CC" w:rsidRPr="6AA2EF1C">
        <w:t>Th</w:t>
      </w:r>
      <w:r w:rsidR="005F64CC">
        <w:t xml:space="preserve">is section </w:t>
      </w:r>
      <w:r w:rsidR="005F64CC" w:rsidRPr="6AA2EF1C">
        <w:t>should</w:t>
      </w:r>
      <w:r w:rsidR="005F64CC" w:rsidRPr="6AA2EF1C">
        <w:rPr>
          <w:spacing w:val="-13"/>
        </w:rPr>
        <w:t xml:space="preserve"> </w:t>
      </w:r>
      <w:r w:rsidR="005F64CC" w:rsidRPr="6AA2EF1C">
        <w:t>also</w:t>
      </w:r>
      <w:r w:rsidR="005F64CC" w:rsidRPr="6AA2EF1C">
        <w:rPr>
          <w:spacing w:val="-13"/>
        </w:rPr>
        <w:t xml:space="preserve"> </w:t>
      </w:r>
      <w:r w:rsidR="005F64CC" w:rsidRPr="6AA2EF1C">
        <w:t>address</w:t>
      </w:r>
      <w:r w:rsidR="005F64CC" w:rsidRPr="6AA2EF1C">
        <w:rPr>
          <w:spacing w:val="-13"/>
        </w:rPr>
        <w:t xml:space="preserve"> </w:t>
      </w:r>
      <w:r w:rsidR="005F64CC" w:rsidRPr="6AA2EF1C">
        <w:t>emergency</w:t>
      </w:r>
      <w:r w:rsidR="005F64CC" w:rsidRPr="6AA2EF1C">
        <w:rPr>
          <w:spacing w:val="-13"/>
        </w:rPr>
        <w:t xml:space="preserve"> </w:t>
      </w:r>
      <w:r w:rsidR="005F64CC" w:rsidRPr="6AA2EF1C">
        <w:t>and</w:t>
      </w:r>
      <w:r w:rsidR="005F64CC" w:rsidRPr="6AA2EF1C">
        <w:rPr>
          <w:spacing w:val="-13"/>
        </w:rPr>
        <w:t xml:space="preserve"> </w:t>
      </w:r>
      <w:r w:rsidR="005F64CC" w:rsidRPr="6AA2EF1C">
        <w:t>evacuation</w:t>
      </w:r>
      <w:r w:rsidR="005F64CC" w:rsidRPr="6AA2EF1C">
        <w:rPr>
          <w:spacing w:val="-13"/>
        </w:rPr>
        <w:t xml:space="preserve"> </w:t>
      </w:r>
      <w:r w:rsidR="005F64CC" w:rsidRPr="6AA2EF1C">
        <w:t xml:space="preserve">needs, </w:t>
      </w:r>
      <w:r w:rsidR="005F64CC" w:rsidRPr="6AA2EF1C">
        <w:rPr>
          <w:spacing w:val="-4"/>
        </w:rPr>
        <w:t>snow</w:t>
      </w:r>
      <w:r w:rsidR="005F64CC" w:rsidRPr="6AA2EF1C">
        <w:rPr>
          <w:spacing w:val="-22"/>
        </w:rPr>
        <w:t xml:space="preserve"> </w:t>
      </w:r>
      <w:r w:rsidR="005F64CC" w:rsidRPr="6AA2EF1C">
        <w:rPr>
          <w:spacing w:val="-4"/>
        </w:rPr>
        <w:t>removal</w:t>
      </w:r>
      <w:r w:rsidR="005F64CC" w:rsidRPr="6AA2EF1C">
        <w:rPr>
          <w:spacing w:val="-22"/>
        </w:rPr>
        <w:t xml:space="preserve"> </w:t>
      </w:r>
      <w:r w:rsidR="005F64CC" w:rsidRPr="6AA2EF1C">
        <w:rPr>
          <w:spacing w:val="-4"/>
        </w:rPr>
        <w:t>and</w:t>
      </w:r>
      <w:r w:rsidR="005F64CC" w:rsidRPr="6AA2EF1C">
        <w:rPr>
          <w:spacing w:val="-22"/>
        </w:rPr>
        <w:t xml:space="preserve"> </w:t>
      </w:r>
      <w:r w:rsidR="005F64CC" w:rsidRPr="6AA2EF1C">
        <w:rPr>
          <w:spacing w:val="-4"/>
        </w:rPr>
        <w:t>seasonal</w:t>
      </w:r>
      <w:r w:rsidR="005F64CC" w:rsidRPr="6AA2EF1C">
        <w:rPr>
          <w:spacing w:val="-22"/>
        </w:rPr>
        <w:t xml:space="preserve"> </w:t>
      </w:r>
      <w:r w:rsidR="005F64CC" w:rsidRPr="6AA2EF1C">
        <w:rPr>
          <w:spacing w:val="-4"/>
        </w:rPr>
        <w:t>needs,</w:t>
      </w:r>
      <w:r w:rsidR="005F64CC" w:rsidRPr="6AA2EF1C">
        <w:rPr>
          <w:spacing w:val="-22"/>
        </w:rPr>
        <w:t xml:space="preserve"> </w:t>
      </w:r>
      <w:r w:rsidR="005F64CC" w:rsidRPr="6AA2EF1C">
        <w:rPr>
          <w:spacing w:val="-4"/>
        </w:rPr>
        <w:t>and</w:t>
      </w:r>
      <w:r w:rsidR="005F64CC" w:rsidRPr="6AA2EF1C">
        <w:rPr>
          <w:spacing w:val="-22"/>
        </w:rPr>
        <w:t xml:space="preserve"> </w:t>
      </w:r>
      <w:r w:rsidR="005F64CC" w:rsidRPr="6AA2EF1C">
        <w:rPr>
          <w:spacing w:val="-4"/>
        </w:rPr>
        <w:t>ways</w:t>
      </w:r>
      <w:r w:rsidR="005F64CC" w:rsidRPr="6AA2EF1C">
        <w:rPr>
          <w:spacing w:val="-22"/>
        </w:rPr>
        <w:t xml:space="preserve"> </w:t>
      </w:r>
      <w:r w:rsidR="005F64CC" w:rsidRPr="6AA2EF1C">
        <w:rPr>
          <w:spacing w:val="-4"/>
        </w:rPr>
        <w:t>for</w:t>
      </w:r>
      <w:r w:rsidR="005F64CC" w:rsidRPr="6AA2EF1C">
        <w:rPr>
          <w:spacing w:val="-22"/>
        </w:rPr>
        <w:t xml:space="preserve"> </w:t>
      </w:r>
      <w:r w:rsidR="005F64CC" w:rsidRPr="6AA2EF1C">
        <w:rPr>
          <w:spacing w:val="-4"/>
        </w:rPr>
        <w:t>EV</w:t>
      </w:r>
      <w:r w:rsidR="005F64CC" w:rsidRPr="6AA2EF1C">
        <w:rPr>
          <w:spacing w:val="-22"/>
        </w:rPr>
        <w:t xml:space="preserve"> </w:t>
      </w:r>
      <w:r w:rsidR="005F64CC" w:rsidRPr="6AA2EF1C">
        <w:rPr>
          <w:spacing w:val="-4"/>
        </w:rPr>
        <w:t>charging</w:t>
      </w:r>
      <w:r w:rsidR="005F64CC" w:rsidRPr="6AA2EF1C">
        <w:rPr>
          <w:spacing w:val="-22"/>
        </w:rPr>
        <w:t xml:space="preserve"> </w:t>
      </w:r>
      <w:r w:rsidR="005F64CC" w:rsidRPr="6AA2EF1C">
        <w:rPr>
          <w:spacing w:val="-4"/>
        </w:rPr>
        <w:t>to</w:t>
      </w:r>
      <w:r w:rsidR="005F64CC" w:rsidRPr="6AA2EF1C">
        <w:rPr>
          <w:spacing w:val="-22"/>
        </w:rPr>
        <w:t xml:space="preserve"> </w:t>
      </w:r>
      <w:r w:rsidR="005F64CC" w:rsidRPr="6AA2EF1C">
        <w:rPr>
          <w:spacing w:val="-4"/>
        </w:rPr>
        <w:t>support</w:t>
      </w:r>
      <w:r w:rsidR="005F64CC" w:rsidRPr="6AA2EF1C">
        <w:rPr>
          <w:spacing w:val="-22"/>
        </w:rPr>
        <w:t xml:space="preserve"> </w:t>
      </w:r>
      <w:r w:rsidR="005F64CC" w:rsidRPr="6AA2EF1C">
        <w:rPr>
          <w:spacing w:val="-4"/>
        </w:rPr>
        <w:t>those</w:t>
      </w:r>
      <w:r w:rsidR="005F64CC" w:rsidRPr="6AA2EF1C">
        <w:rPr>
          <w:spacing w:val="-22"/>
        </w:rPr>
        <w:t xml:space="preserve"> </w:t>
      </w:r>
      <w:r w:rsidR="005F64CC" w:rsidRPr="6AA2EF1C">
        <w:rPr>
          <w:spacing w:val="-4"/>
        </w:rPr>
        <w:t>needs</w:t>
      </w:r>
      <w:r w:rsidR="000E2A24">
        <w:rPr>
          <w:spacing w:val="-4"/>
        </w:rPr>
        <w:t xml:space="preserve"> and describe</w:t>
      </w:r>
      <w:r w:rsidR="005F64CC" w:rsidRPr="6AA2EF1C">
        <w:t xml:space="preserve"> strategies for resilience for operation during emergencies and extreme weather</w:t>
      </w:r>
      <w:r w:rsidR="00E433F2">
        <w:t>.</w:t>
      </w:r>
      <w:r w:rsidR="001C14C0" w:rsidRPr="001C14C0">
        <w:t xml:space="preserve"> </w:t>
      </w:r>
      <w:r w:rsidR="001C14C0">
        <w:t xml:space="preserve">States should indicate changes in implementation considerations outlined in Plans from prior fiscal years, including changes to address compliance with minimum standards for EV charging infrastructure under </w:t>
      </w:r>
      <w:hyperlink r:id="rId12" w:history="1">
        <w:r w:rsidR="001C14C0">
          <w:rPr>
            <w:rStyle w:val="Hyperlink"/>
          </w:rPr>
          <w:t>23 CFR 680</w:t>
        </w:r>
      </w:hyperlink>
      <w:r w:rsidR="001C14C0">
        <w:t>.</w:t>
      </w:r>
      <w:r w:rsidRPr="00185B9B">
        <w:t>&gt;</w:t>
      </w:r>
    </w:p>
    <w:p w14:paraId="036D1753" w14:textId="74999F89" w:rsidR="00D106E8" w:rsidRPr="00E77BBB" w:rsidRDefault="00D106E8" w:rsidP="00D106E8">
      <w:pPr>
        <w:pStyle w:val="FHWASubtitle"/>
        <w:rPr>
          <w:color w:val="385623" w:themeColor="accent6" w:themeShade="80"/>
          <w:sz w:val="24"/>
          <w:szCs w:val="24"/>
          <w:u w:val="single"/>
        </w:rPr>
      </w:pPr>
      <w:bookmarkStart w:id="11" w:name="_Toc90022590"/>
      <w:r w:rsidRPr="00E77BBB">
        <w:rPr>
          <w:color w:val="385623" w:themeColor="accent6" w:themeShade="80"/>
        </w:rPr>
        <w:lastRenderedPageBreak/>
        <w:t>Equity Considerations</w:t>
      </w:r>
      <w:r w:rsidR="003B3290">
        <w:rPr>
          <w:color w:val="385623" w:themeColor="accent6" w:themeShade="80"/>
        </w:rPr>
        <w:t xml:space="preserve"> </w:t>
      </w:r>
      <w:r w:rsidR="00972C3A" w:rsidRPr="0031107E">
        <w:rPr>
          <w:color w:val="auto"/>
          <w:sz w:val="24"/>
          <w:szCs w:val="24"/>
        </w:rPr>
        <w:t>[</w:t>
      </w:r>
      <w:r w:rsidR="00215325">
        <w:rPr>
          <w:color w:val="auto"/>
          <w:sz w:val="24"/>
          <w:szCs w:val="24"/>
        </w:rPr>
        <w:t>REQUIRED</w:t>
      </w:r>
      <w:r w:rsidR="008F1F0A">
        <w:rPr>
          <w:color w:val="auto"/>
          <w:sz w:val="24"/>
          <w:szCs w:val="24"/>
        </w:rPr>
        <w:t xml:space="preserve"> </w:t>
      </w:r>
      <w:r w:rsidR="008F1F0A" w:rsidRPr="006C46AF">
        <w:rPr>
          <w:color w:val="auto"/>
          <w:sz w:val="24"/>
          <w:szCs w:val="24"/>
        </w:rPr>
        <w:t xml:space="preserve">- 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8F1F0A" w:rsidRPr="006C46AF">
        <w:rPr>
          <w:color w:val="auto"/>
          <w:sz w:val="24"/>
          <w:szCs w:val="24"/>
        </w:rPr>
        <w:t>]</w:t>
      </w:r>
      <w:r w:rsidR="008F1F0A" w:rsidRPr="0031107E">
        <w:rPr>
          <w:color w:val="auto"/>
        </w:rPr>
        <w:t xml:space="preserve">  </w:t>
      </w:r>
    </w:p>
    <w:p w14:paraId="0B248FA4" w14:textId="72269944" w:rsidR="00D106E8" w:rsidRPr="00185B9B" w:rsidRDefault="00D106E8" w:rsidP="00D106E8">
      <w:r w:rsidRPr="00185B9B">
        <w:t xml:space="preserve">&lt;Include </w:t>
      </w:r>
      <w:r w:rsidR="00CF3068">
        <w:t xml:space="preserve">updates to </w:t>
      </w:r>
      <w:r w:rsidRPr="00185B9B">
        <w:t xml:space="preserve">a discussion of how the State is adhering to the goal outlined in the Justice40 Initiative as a part of Executive Order 14008 in the use of the NEVI Formula Program. </w:t>
      </w:r>
      <w:r w:rsidR="005574B4">
        <w:t xml:space="preserve">Discuss how the plan complies with </w:t>
      </w:r>
      <w:r w:rsidR="00480370">
        <w:t>the White House Interim G</w:t>
      </w:r>
      <w:r w:rsidR="005574B4">
        <w:t>uidance on Justice40</w:t>
      </w:r>
      <w:r w:rsidRPr="00185B9B">
        <w:t>.</w:t>
      </w:r>
      <w:r w:rsidR="00DF3CDC">
        <w:t xml:space="preserve"> (See Section III-B of the NEVI Formula Program Guidance, Equity Considerations for example benefits)</w:t>
      </w:r>
      <w:r w:rsidRPr="00185B9B">
        <w:t xml:space="preserve">&gt; </w:t>
      </w:r>
    </w:p>
    <w:p w14:paraId="14A73ACE" w14:textId="08F4BEFD" w:rsidR="00D106E8" w:rsidRPr="004047ED" w:rsidRDefault="00D106E8" w:rsidP="00D106E8">
      <w:pPr>
        <w:pStyle w:val="BodyText"/>
      </w:pPr>
    </w:p>
    <w:p w14:paraId="6E87BB76" w14:textId="057CC609" w:rsidR="00D106E8" w:rsidRPr="00E77BBB" w:rsidRDefault="00D106E8" w:rsidP="00B305F0">
      <w:pPr>
        <w:pStyle w:val="FHWAParagraghHeading"/>
        <w:ind w:left="720"/>
      </w:pPr>
      <w:r w:rsidRPr="00E77BBB">
        <w:t>Identification and Outreach to Disadvantaged Communities (DACs) in the State</w:t>
      </w:r>
      <w:r w:rsidR="009F033F">
        <w:t xml:space="preserve"> </w:t>
      </w:r>
      <w:r w:rsidR="00170F7B" w:rsidRPr="0031107E">
        <w:rPr>
          <w:color w:val="auto"/>
        </w:rPr>
        <w:t>[</w:t>
      </w:r>
      <w:r w:rsidR="00215325">
        <w:rPr>
          <w:color w:val="auto"/>
        </w:rPr>
        <w:t>REQUIRED</w:t>
      </w:r>
      <w:r w:rsidR="008F1F0A">
        <w:rPr>
          <w:color w:val="auto"/>
        </w:rPr>
        <w:t xml:space="preserve"> </w:t>
      </w:r>
      <w:r w:rsidR="008F1F0A" w:rsidRPr="00944EF6">
        <w:rPr>
          <w:color w:val="auto"/>
        </w:rPr>
        <w:t xml:space="preserve">- Updated </w:t>
      </w:r>
      <w:r w:rsidR="00C67BCB">
        <w:rPr>
          <w:color w:val="auto"/>
        </w:rPr>
        <w:t>6/</w:t>
      </w:r>
      <w:r w:rsidR="0096757B">
        <w:rPr>
          <w:color w:val="auto"/>
        </w:rPr>
        <w:t>2</w:t>
      </w:r>
      <w:r w:rsidR="00C67BCB">
        <w:rPr>
          <w:color w:val="auto"/>
        </w:rPr>
        <w:t>/23</w:t>
      </w:r>
      <w:r w:rsidR="008F1F0A" w:rsidRPr="00944EF6">
        <w:rPr>
          <w:color w:val="auto"/>
        </w:rPr>
        <w:t>]</w:t>
      </w:r>
      <w:r w:rsidR="008F1F0A" w:rsidRPr="0031107E">
        <w:rPr>
          <w:color w:val="auto"/>
        </w:rPr>
        <w:t xml:space="preserve">  </w:t>
      </w:r>
      <w:r w:rsidR="00170F7B" w:rsidRPr="0031107E">
        <w:rPr>
          <w:color w:val="auto"/>
        </w:rPr>
        <w:t xml:space="preserve"> </w:t>
      </w:r>
    </w:p>
    <w:p w14:paraId="682F9AC5" w14:textId="2C81A534" w:rsidR="00D106E8" w:rsidRPr="00185B9B" w:rsidRDefault="00D106E8" w:rsidP="00B305F0">
      <w:pPr>
        <w:ind w:left="720"/>
      </w:pPr>
      <w:r w:rsidRPr="00185B9B">
        <w:t>&lt;Insert discussion here</w:t>
      </w:r>
      <w:r w:rsidR="00E433F2">
        <w:t>.</w:t>
      </w:r>
      <w:r w:rsidRPr="00185B9B">
        <w:t>&gt;</w:t>
      </w:r>
    </w:p>
    <w:p w14:paraId="05516FFB" w14:textId="73A05BE9" w:rsidR="00D106E8" w:rsidRPr="00353E5F" w:rsidRDefault="00D106E8" w:rsidP="00B305F0">
      <w:pPr>
        <w:ind w:left="720"/>
      </w:pPr>
    </w:p>
    <w:p w14:paraId="20419FB1" w14:textId="2E6D4953" w:rsidR="00D106E8" w:rsidRPr="00E77BBB" w:rsidRDefault="00D106E8" w:rsidP="00B305F0">
      <w:pPr>
        <w:pStyle w:val="FHWAParagraghHeading"/>
        <w:ind w:left="720"/>
      </w:pPr>
      <w:r w:rsidRPr="00E77BBB">
        <w:t>Process to Identify, Quantify, and Measure Benefits to DACs</w:t>
      </w:r>
      <w:r w:rsidR="009F033F">
        <w:t xml:space="preserve"> </w:t>
      </w:r>
      <w:r w:rsidR="00170F7B" w:rsidRPr="0031107E">
        <w:rPr>
          <w:color w:val="auto"/>
        </w:rPr>
        <w:t>[</w:t>
      </w:r>
      <w:r w:rsidR="00215325">
        <w:rPr>
          <w:color w:val="auto"/>
        </w:rPr>
        <w:t>REQUIRED</w:t>
      </w:r>
      <w:r w:rsidR="008F1F0A">
        <w:rPr>
          <w:color w:val="auto"/>
        </w:rPr>
        <w:t xml:space="preserve"> </w:t>
      </w:r>
      <w:r w:rsidR="008F1F0A" w:rsidRPr="00944EF6">
        <w:rPr>
          <w:color w:val="auto"/>
        </w:rPr>
        <w:t xml:space="preserve">- Updated </w:t>
      </w:r>
      <w:r w:rsidR="00C67BCB">
        <w:rPr>
          <w:color w:val="auto"/>
        </w:rPr>
        <w:t>6/</w:t>
      </w:r>
      <w:r w:rsidR="0096757B">
        <w:rPr>
          <w:color w:val="auto"/>
        </w:rPr>
        <w:t>2</w:t>
      </w:r>
      <w:r w:rsidR="00C67BCB">
        <w:rPr>
          <w:color w:val="auto"/>
        </w:rPr>
        <w:t>/23</w:t>
      </w:r>
      <w:r w:rsidR="008F1F0A" w:rsidRPr="00944EF6">
        <w:rPr>
          <w:color w:val="auto"/>
        </w:rPr>
        <w:t>]</w:t>
      </w:r>
      <w:r w:rsidR="008F1F0A" w:rsidRPr="0031107E">
        <w:rPr>
          <w:color w:val="auto"/>
        </w:rPr>
        <w:t xml:space="preserve">  </w:t>
      </w:r>
      <w:r w:rsidR="00170F7B" w:rsidRPr="0031107E">
        <w:rPr>
          <w:color w:val="auto"/>
        </w:rPr>
        <w:t xml:space="preserve">  </w:t>
      </w:r>
    </w:p>
    <w:p w14:paraId="109802ED" w14:textId="52757844" w:rsidR="00D106E8" w:rsidRDefault="00D106E8">
      <w:pPr>
        <w:pStyle w:val="CommentText"/>
        <w:ind w:left="720"/>
      </w:pPr>
      <w:r w:rsidRPr="00185B9B">
        <w:t>&lt;</w:t>
      </w:r>
      <w:r w:rsidRPr="00E433F2">
        <w:rPr>
          <w:sz w:val="22"/>
          <w:szCs w:val="22"/>
        </w:rPr>
        <w:t xml:space="preserve">Insert discussion of which benefits will be measured, what metric will be used to measure those benefits, and the data sources </w:t>
      </w:r>
      <w:r w:rsidR="00510A3B">
        <w:t xml:space="preserve">and analysis methods </w:t>
      </w:r>
      <w:r w:rsidRPr="00E433F2">
        <w:rPr>
          <w:sz w:val="22"/>
          <w:szCs w:val="22"/>
        </w:rPr>
        <w:t xml:space="preserve">used to track metrics. </w:t>
      </w:r>
      <w:r w:rsidR="00EE1895">
        <w:t xml:space="preserve">Also describe how a baseline and goals may be set for each benefit area, and how communities will be engaged to validate the receipt of benefits. </w:t>
      </w:r>
      <w:r w:rsidR="005574B4" w:rsidRPr="00E433F2">
        <w:rPr>
          <w:sz w:val="22"/>
          <w:szCs w:val="22"/>
        </w:rPr>
        <w:t xml:space="preserve">Refer to </w:t>
      </w:r>
      <w:r w:rsidR="00480370">
        <w:rPr>
          <w:sz w:val="22"/>
          <w:szCs w:val="22"/>
        </w:rPr>
        <w:t>White House Interim</w:t>
      </w:r>
      <w:r w:rsidR="005574B4" w:rsidRPr="00E433F2">
        <w:rPr>
          <w:sz w:val="22"/>
          <w:szCs w:val="22"/>
        </w:rPr>
        <w:t xml:space="preserve"> </w:t>
      </w:r>
      <w:r w:rsidR="00480370">
        <w:rPr>
          <w:sz w:val="22"/>
          <w:szCs w:val="22"/>
        </w:rPr>
        <w:t>G</w:t>
      </w:r>
      <w:r w:rsidR="005574B4" w:rsidRPr="00E433F2">
        <w:rPr>
          <w:sz w:val="22"/>
          <w:szCs w:val="22"/>
        </w:rPr>
        <w:t>uidance</w:t>
      </w:r>
      <w:r w:rsidR="00480370">
        <w:rPr>
          <w:sz w:val="22"/>
          <w:szCs w:val="22"/>
        </w:rPr>
        <w:t xml:space="preserve"> on Justice40</w:t>
      </w:r>
      <w:r w:rsidR="005574B4" w:rsidRPr="00E433F2">
        <w:rPr>
          <w:sz w:val="22"/>
          <w:szCs w:val="22"/>
        </w:rPr>
        <w:t xml:space="preserve"> for examples on measuring benefits to DACs. For mapping benefits to DACs, refer to Argonne National Laboratory’s page Electric Vehicle Charging Equity Considerations and the Electric Vehicle Charging Justice40 Map tool</w:t>
      </w:r>
      <w:r w:rsidR="005574B4" w:rsidRPr="005574B4">
        <w:t>.</w:t>
      </w:r>
      <w:r w:rsidR="00E433F2">
        <w:t>&gt;</w:t>
      </w:r>
      <w:r w:rsidRPr="00185B9B">
        <w:t xml:space="preserve"> </w:t>
      </w:r>
    </w:p>
    <w:p w14:paraId="43A58DF5" w14:textId="77777777" w:rsidR="00CB0BF8" w:rsidRDefault="00CB0BF8">
      <w:pPr>
        <w:pStyle w:val="CommentText"/>
        <w:ind w:left="720"/>
      </w:pPr>
    </w:p>
    <w:tbl>
      <w:tblPr>
        <w:tblStyle w:val="TableGrid"/>
        <w:tblW w:w="0" w:type="auto"/>
        <w:tblLook w:val="04A0" w:firstRow="1" w:lastRow="0" w:firstColumn="1" w:lastColumn="0" w:noHBand="0" w:noVBand="1"/>
      </w:tblPr>
      <w:tblGrid>
        <w:gridCol w:w="3325"/>
        <w:gridCol w:w="5670"/>
      </w:tblGrid>
      <w:tr w:rsidR="00CB0BF8" w14:paraId="027712BB" w14:textId="77777777" w:rsidTr="00C44DE3">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850D7C" w14:textId="77777777" w:rsidR="00CB0BF8" w:rsidRPr="00C44DE3" w:rsidRDefault="00CB0BF8">
            <w:pPr>
              <w:pStyle w:val="CommentText"/>
              <w:rPr>
                <w:b/>
                <w:bCs/>
              </w:rPr>
            </w:pPr>
            <w:r w:rsidRPr="00C44DE3">
              <w:rPr>
                <w:b/>
                <w:bCs/>
              </w:rPr>
              <w:t>Benefits Category (examples)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31DB1" w14:textId="77777777" w:rsidR="00CB0BF8" w:rsidRPr="00C44DE3" w:rsidRDefault="00CB0BF8">
            <w:pPr>
              <w:pStyle w:val="CommentText"/>
              <w:rPr>
                <w:b/>
                <w:bCs/>
              </w:rPr>
            </w:pPr>
            <w:r w:rsidRPr="00C44DE3">
              <w:rPr>
                <w:b/>
                <w:bCs/>
              </w:rPr>
              <w:t>Strategy for Tracking Benefits (Metrics, Baseline, Goals, Data Collection &amp; Analysis Approach, Community Validation)</w:t>
            </w:r>
          </w:p>
        </w:tc>
      </w:tr>
      <w:tr w:rsidR="00CB0BF8" w14:paraId="7A742395" w14:textId="77777777" w:rsidTr="00327078">
        <w:trPr>
          <w:trHeight w:val="638"/>
        </w:trPr>
        <w:tc>
          <w:tcPr>
            <w:tcW w:w="3325" w:type="dxa"/>
            <w:tcBorders>
              <w:top w:val="single" w:sz="4" w:space="0" w:color="auto"/>
              <w:left w:val="single" w:sz="4" w:space="0" w:color="auto"/>
              <w:bottom w:val="single" w:sz="4" w:space="0" w:color="auto"/>
              <w:right w:val="single" w:sz="4" w:space="0" w:color="auto"/>
            </w:tcBorders>
          </w:tcPr>
          <w:p w14:paraId="2D163420" w14:textId="77777777" w:rsidR="00CB0BF8" w:rsidRDefault="00CB0BF8">
            <w:pPr>
              <w:pStyle w:val="CommentText"/>
            </w:pPr>
            <w:r>
              <w:t xml:space="preserve">Improve clean transportation access through the location of </w:t>
            </w:r>
            <w:proofErr w:type="gramStart"/>
            <w:r>
              <w:t>chargers;</w:t>
            </w:r>
            <w:proofErr w:type="gramEnd"/>
          </w:p>
          <w:p w14:paraId="47DA7F33" w14:textId="77777777" w:rsidR="00CB0BF8" w:rsidRDefault="00CB0BF8">
            <w:pPr>
              <w:pStyle w:val="CommentText"/>
            </w:pPr>
          </w:p>
        </w:tc>
        <w:tc>
          <w:tcPr>
            <w:tcW w:w="5670" w:type="dxa"/>
            <w:tcBorders>
              <w:top w:val="single" w:sz="4" w:space="0" w:color="auto"/>
              <w:left w:val="single" w:sz="4" w:space="0" w:color="auto"/>
              <w:bottom w:val="single" w:sz="4" w:space="0" w:color="auto"/>
              <w:right w:val="single" w:sz="4" w:space="0" w:color="auto"/>
            </w:tcBorders>
          </w:tcPr>
          <w:p w14:paraId="244EB4A0" w14:textId="77777777" w:rsidR="00CB0BF8" w:rsidRDefault="00CB0BF8">
            <w:pPr>
              <w:pStyle w:val="CommentText"/>
            </w:pPr>
          </w:p>
        </w:tc>
      </w:tr>
      <w:tr w:rsidR="00CB0BF8" w14:paraId="4FC25FC4" w14:textId="77777777" w:rsidTr="00327078">
        <w:trPr>
          <w:trHeight w:val="926"/>
        </w:trPr>
        <w:tc>
          <w:tcPr>
            <w:tcW w:w="3325" w:type="dxa"/>
            <w:tcBorders>
              <w:top w:val="single" w:sz="4" w:space="0" w:color="auto"/>
              <w:left w:val="single" w:sz="4" w:space="0" w:color="auto"/>
              <w:bottom w:val="single" w:sz="4" w:space="0" w:color="auto"/>
              <w:right w:val="single" w:sz="4" w:space="0" w:color="auto"/>
            </w:tcBorders>
          </w:tcPr>
          <w:p w14:paraId="5485F394" w14:textId="77777777" w:rsidR="00CB0BF8" w:rsidRDefault="00CB0BF8">
            <w:pPr>
              <w:pStyle w:val="CommentText"/>
            </w:pPr>
            <w:r>
              <w:t xml:space="preserve">Decrease the transportation energy cost burden by enabling reliable access to affordable </w:t>
            </w:r>
            <w:proofErr w:type="gramStart"/>
            <w:r>
              <w:t>charging;</w:t>
            </w:r>
            <w:proofErr w:type="gramEnd"/>
          </w:p>
          <w:p w14:paraId="31DE56B3" w14:textId="77777777" w:rsidR="00CB0BF8" w:rsidRDefault="00CB0BF8">
            <w:pPr>
              <w:pStyle w:val="CommentText"/>
            </w:pPr>
          </w:p>
        </w:tc>
        <w:tc>
          <w:tcPr>
            <w:tcW w:w="5670" w:type="dxa"/>
            <w:tcBorders>
              <w:top w:val="single" w:sz="4" w:space="0" w:color="auto"/>
              <w:left w:val="single" w:sz="4" w:space="0" w:color="auto"/>
              <w:bottom w:val="single" w:sz="4" w:space="0" w:color="auto"/>
              <w:right w:val="single" w:sz="4" w:space="0" w:color="auto"/>
            </w:tcBorders>
          </w:tcPr>
          <w:p w14:paraId="39B0D404" w14:textId="77777777" w:rsidR="00CB0BF8" w:rsidRDefault="00CB0BF8">
            <w:pPr>
              <w:pStyle w:val="CommentText"/>
            </w:pPr>
          </w:p>
        </w:tc>
      </w:tr>
      <w:tr w:rsidR="00CB0BF8" w14:paraId="1D62C879" w14:textId="77777777" w:rsidTr="00327078">
        <w:trPr>
          <w:trHeight w:val="620"/>
        </w:trPr>
        <w:tc>
          <w:tcPr>
            <w:tcW w:w="3325" w:type="dxa"/>
            <w:tcBorders>
              <w:top w:val="single" w:sz="4" w:space="0" w:color="auto"/>
              <w:left w:val="single" w:sz="4" w:space="0" w:color="auto"/>
              <w:bottom w:val="single" w:sz="4" w:space="0" w:color="auto"/>
              <w:right w:val="single" w:sz="4" w:space="0" w:color="auto"/>
            </w:tcBorders>
            <w:hideMark/>
          </w:tcPr>
          <w:p w14:paraId="6EE0B286" w14:textId="77777777" w:rsidR="00CB0BF8" w:rsidRDefault="00CB0BF8">
            <w:pPr>
              <w:pStyle w:val="CommentText"/>
            </w:pPr>
            <w:r>
              <w:t>Reduce environmental exposures to transportation emissions;</w:t>
            </w:r>
          </w:p>
        </w:tc>
        <w:tc>
          <w:tcPr>
            <w:tcW w:w="5670" w:type="dxa"/>
            <w:tcBorders>
              <w:top w:val="single" w:sz="4" w:space="0" w:color="auto"/>
              <w:left w:val="single" w:sz="4" w:space="0" w:color="auto"/>
              <w:bottom w:val="single" w:sz="4" w:space="0" w:color="auto"/>
              <w:right w:val="single" w:sz="4" w:space="0" w:color="auto"/>
            </w:tcBorders>
          </w:tcPr>
          <w:p w14:paraId="3D2DB418" w14:textId="77777777" w:rsidR="00CB0BF8" w:rsidRDefault="00CB0BF8">
            <w:pPr>
              <w:pStyle w:val="CommentText"/>
            </w:pPr>
          </w:p>
        </w:tc>
      </w:tr>
      <w:tr w:rsidR="00CB0BF8" w14:paraId="059DB8F3" w14:textId="77777777" w:rsidTr="00327078">
        <w:trPr>
          <w:trHeight w:val="530"/>
        </w:trPr>
        <w:tc>
          <w:tcPr>
            <w:tcW w:w="3325" w:type="dxa"/>
            <w:tcBorders>
              <w:top w:val="single" w:sz="4" w:space="0" w:color="auto"/>
              <w:left w:val="single" w:sz="4" w:space="0" w:color="auto"/>
              <w:bottom w:val="single" w:sz="4" w:space="0" w:color="auto"/>
              <w:right w:val="single" w:sz="4" w:space="0" w:color="auto"/>
            </w:tcBorders>
          </w:tcPr>
          <w:p w14:paraId="71B195EE" w14:textId="77777777" w:rsidR="00CB0BF8" w:rsidRDefault="00CB0BF8">
            <w:pPr>
              <w:pStyle w:val="CommentText"/>
            </w:pPr>
            <w:r>
              <w:t xml:space="preserve">Increase parity in clean energy technology access and </w:t>
            </w:r>
            <w:proofErr w:type="gramStart"/>
            <w:r>
              <w:t>adoption;</w:t>
            </w:r>
            <w:proofErr w:type="gramEnd"/>
          </w:p>
          <w:p w14:paraId="44D1D2B5" w14:textId="77777777" w:rsidR="00CB0BF8" w:rsidRDefault="00CB0BF8">
            <w:pPr>
              <w:pStyle w:val="CommentText"/>
            </w:pPr>
          </w:p>
        </w:tc>
        <w:tc>
          <w:tcPr>
            <w:tcW w:w="5670" w:type="dxa"/>
            <w:tcBorders>
              <w:top w:val="single" w:sz="4" w:space="0" w:color="auto"/>
              <w:left w:val="single" w:sz="4" w:space="0" w:color="auto"/>
              <w:bottom w:val="single" w:sz="4" w:space="0" w:color="auto"/>
              <w:right w:val="single" w:sz="4" w:space="0" w:color="auto"/>
            </w:tcBorders>
          </w:tcPr>
          <w:p w14:paraId="408D3E59" w14:textId="77777777" w:rsidR="00CB0BF8" w:rsidRDefault="00CB0BF8">
            <w:pPr>
              <w:pStyle w:val="CommentText"/>
            </w:pPr>
          </w:p>
        </w:tc>
      </w:tr>
      <w:tr w:rsidR="00CB0BF8" w14:paraId="58DFC1F6" w14:textId="77777777" w:rsidTr="00327078">
        <w:trPr>
          <w:trHeight w:val="1106"/>
        </w:trPr>
        <w:tc>
          <w:tcPr>
            <w:tcW w:w="3325" w:type="dxa"/>
            <w:tcBorders>
              <w:top w:val="single" w:sz="4" w:space="0" w:color="auto"/>
              <w:left w:val="single" w:sz="4" w:space="0" w:color="auto"/>
              <w:bottom w:val="single" w:sz="4" w:space="0" w:color="auto"/>
              <w:right w:val="single" w:sz="4" w:space="0" w:color="auto"/>
            </w:tcBorders>
            <w:hideMark/>
          </w:tcPr>
          <w:p w14:paraId="0ECCE2E0" w14:textId="77777777" w:rsidR="00CB0BF8" w:rsidRDefault="00CB0BF8">
            <w:pPr>
              <w:pStyle w:val="CommentText"/>
            </w:pPr>
            <w:r>
              <w:t>Increase access to low-cost capital to increase equitable adoption of more costly, clean energy technologies like EVs and EV chargers;</w:t>
            </w:r>
          </w:p>
        </w:tc>
        <w:tc>
          <w:tcPr>
            <w:tcW w:w="5670" w:type="dxa"/>
            <w:tcBorders>
              <w:top w:val="single" w:sz="4" w:space="0" w:color="auto"/>
              <w:left w:val="single" w:sz="4" w:space="0" w:color="auto"/>
              <w:bottom w:val="single" w:sz="4" w:space="0" w:color="auto"/>
              <w:right w:val="single" w:sz="4" w:space="0" w:color="auto"/>
            </w:tcBorders>
          </w:tcPr>
          <w:p w14:paraId="65285F60" w14:textId="77777777" w:rsidR="00CB0BF8" w:rsidRDefault="00CB0BF8">
            <w:pPr>
              <w:pStyle w:val="CommentText"/>
            </w:pPr>
          </w:p>
        </w:tc>
      </w:tr>
      <w:tr w:rsidR="00CB0BF8" w14:paraId="765BB12B" w14:textId="77777777" w:rsidTr="00327078">
        <w:trPr>
          <w:trHeight w:val="1150"/>
        </w:trPr>
        <w:tc>
          <w:tcPr>
            <w:tcW w:w="3325" w:type="dxa"/>
            <w:tcBorders>
              <w:top w:val="single" w:sz="4" w:space="0" w:color="auto"/>
              <w:left w:val="single" w:sz="4" w:space="0" w:color="auto"/>
              <w:bottom w:val="single" w:sz="4" w:space="0" w:color="auto"/>
              <w:right w:val="single" w:sz="4" w:space="0" w:color="auto"/>
            </w:tcBorders>
            <w:hideMark/>
          </w:tcPr>
          <w:p w14:paraId="1B20DD46" w14:textId="77777777" w:rsidR="00CB0BF8" w:rsidRDefault="00CB0BF8">
            <w:pPr>
              <w:pStyle w:val="CommentText"/>
            </w:pPr>
            <w:r>
              <w:t xml:space="preserve">Increase the clean energy job pipeline, job training, and enterprise creation in disadvantaged </w:t>
            </w:r>
            <w:proofErr w:type="gramStart"/>
            <w:r>
              <w:t>communities;</w:t>
            </w:r>
            <w:proofErr w:type="gramEnd"/>
          </w:p>
          <w:p w14:paraId="56D59747" w14:textId="77777777" w:rsidR="00CB0BF8" w:rsidRDefault="00CB0BF8">
            <w:pPr>
              <w:pStyle w:val="CommentText"/>
            </w:pPr>
            <w:r>
              <w:t>Increase energy resilience;</w:t>
            </w:r>
          </w:p>
        </w:tc>
        <w:tc>
          <w:tcPr>
            <w:tcW w:w="5670" w:type="dxa"/>
            <w:tcBorders>
              <w:top w:val="single" w:sz="4" w:space="0" w:color="auto"/>
              <w:left w:val="single" w:sz="4" w:space="0" w:color="auto"/>
              <w:bottom w:val="single" w:sz="4" w:space="0" w:color="auto"/>
              <w:right w:val="single" w:sz="4" w:space="0" w:color="auto"/>
            </w:tcBorders>
          </w:tcPr>
          <w:p w14:paraId="5B195842" w14:textId="77777777" w:rsidR="00CB0BF8" w:rsidRDefault="00CB0BF8">
            <w:pPr>
              <w:pStyle w:val="CommentText"/>
            </w:pPr>
          </w:p>
        </w:tc>
      </w:tr>
      <w:tr w:rsidR="00CB0BF8" w14:paraId="4706AC99" w14:textId="77777777" w:rsidTr="00327078">
        <w:trPr>
          <w:trHeight w:val="713"/>
        </w:trPr>
        <w:tc>
          <w:tcPr>
            <w:tcW w:w="3325" w:type="dxa"/>
            <w:tcBorders>
              <w:top w:val="single" w:sz="4" w:space="0" w:color="auto"/>
              <w:left w:val="single" w:sz="4" w:space="0" w:color="auto"/>
              <w:bottom w:val="single" w:sz="4" w:space="0" w:color="auto"/>
              <w:right w:val="single" w:sz="4" w:space="0" w:color="auto"/>
            </w:tcBorders>
          </w:tcPr>
          <w:p w14:paraId="36A8AC9E" w14:textId="77777777" w:rsidR="00CB0BF8" w:rsidRDefault="00CB0BF8">
            <w:pPr>
              <w:pStyle w:val="CommentText"/>
            </w:pPr>
            <w:r>
              <w:t xml:space="preserve">Provide charging infrastructure for transit and </w:t>
            </w:r>
            <w:proofErr w:type="gramStart"/>
            <w:r>
              <w:t>shared-ride</w:t>
            </w:r>
            <w:proofErr w:type="gramEnd"/>
            <w:r>
              <w:t xml:space="preserve"> vehicles;</w:t>
            </w:r>
          </w:p>
          <w:p w14:paraId="7FF2F5BF" w14:textId="77777777" w:rsidR="00CB0BF8" w:rsidRDefault="00CB0BF8"/>
        </w:tc>
        <w:tc>
          <w:tcPr>
            <w:tcW w:w="5670" w:type="dxa"/>
            <w:tcBorders>
              <w:top w:val="single" w:sz="4" w:space="0" w:color="auto"/>
              <w:left w:val="single" w:sz="4" w:space="0" w:color="auto"/>
              <w:bottom w:val="single" w:sz="4" w:space="0" w:color="auto"/>
              <w:right w:val="single" w:sz="4" w:space="0" w:color="auto"/>
            </w:tcBorders>
          </w:tcPr>
          <w:p w14:paraId="26CAA41D" w14:textId="77777777" w:rsidR="00CB0BF8" w:rsidRDefault="00CB0BF8">
            <w:pPr>
              <w:pStyle w:val="CommentText"/>
            </w:pPr>
          </w:p>
        </w:tc>
      </w:tr>
      <w:tr w:rsidR="00CB0BF8" w14:paraId="6A8B7C23" w14:textId="77777777" w:rsidTr="00327078">
        <w:tc>
          <w:tcPr>
            <w:tcW w:w="3325" w:type="dxa"/>
            <w:tcBorders>
              <w:top w:val="single" w:sz="4" w:space="0" w:color="auto"/>
              <w:left w:val="single" w:sz="4" w:space="0" w:color="auto"/>
              <w:bottom w:val="single" w:sz="4" w:space="0" w:color="auto"/>
              <w:right w:val="single" w:sz="4" w:space="0" w:color="auto"/>
            </w:tcBorders>
          </w:tcPr>
          <w:p w14:paraId="66184F08" w14:textId="77777777" w:rsidR="00CB0BF8" w:rsidRPr="00327078" w:rsidRDefault="00CB0BF8">
            <w:pPr>
              <w:rPr>
                <w:sz w:val="20"/>
                <w:szCs w:val="20"/>
              </w:rPr>
            </w:pPr>
            <w:r w:rsidRPr="00327078">
              <w:rPr>
                <w:sz w:val="20"/>
                <w:szCs w:val="20"/>
              </w:rPr>
              <w:t>Increase equitable access to the electric grid; and</w:t>
            </w:r>
          </w:p>
          <w:p w14:paraId="4D9CE3DC" w14:textId="77777777" w:rsidR="00CB0BF8" w:rsidRDefault="00CB0BF8">
            <w:pPr>
              <w:pStyle w:val="CommentText"/>
            </w:pPr>
          </w:p>
        </w:tc>
        <w:tc>
          <w:tcPr>
            <w:tcW w:w="5670" w:type="dxa"/>
            <w:tcBorders>
              <w:top w:val="single" w:sz="4" w:space="0" w:color="auto"/>
              <w:left w:val="single" w:sz="4" w:space="0" w:color="auto"/>
              <w:bottom w:val="single" w:sz="4" w:space="0" w:color="auto"/>
              <w:right w:val="single" w:sz="4" w:space="0" w:color="auto"/>
            </w:tcBorders>
          </w:tcPr>
          <w:p w14:paraId="16DE55BA" w14:textId="77777777" w:rsidR="00CB0BF8" w:rsidRDefault="00CB0BF8">
            <w:pPr>
              <w:pStyle w:val="CommentText"/>
            </w:pPr>
          </w:p>
        </w:tc>
      </w:tr>
      <w:tr w:rsidR="00CB0BF8" w14:paraId="77A5B5BB" w14:textId="77777777" w:rsidTr="00327078">
        <w:tc>
          <w:tcPr>
            <w:tcW w:w="3325" w:type="dxa"/>
            <w:tcBorders>
              <w:top w:val="single" w:sz="4" w:space="0" w:color="auto"/>
              <w:left w:val="single" w:sz="4" w:space="0" w:color="auto"/>
              <w:bottom w:val="single" w:sz="4" w:space="0" w:color="auto"/>
              <w:right w:val="single" w:sz="4" w:space="0" w:color="auto"/>
            </w:tcBorders>
            <w:hideMark/>
          </w:tcPr>
          <w:p w14:paraId="04263411" w14:textId="77777777" w:rsidR="00CB0BF8" w:rsidRDefault="00CB0BF8">
            <w:pPr>
              <w:pStyle w:val="CommentText"/>
            </w:pPr>
            <w:r>
              <w:t xml:space="preserve">Minimize gentrification-induced </w:t>
            </w:r>
            <w:r>
              <w:lastRenderedPageBreak/>
              <w:t>displacement result from new EV charging infrastructure.</w:t>
            </w:r>
          </w:p>
        </w:tc>
        <w:tc>
          <w:tcPr>
            <w:tcW w:w="5670" w:type="dxa"/>
            <w:tcBorders>
              <w:top w:val="single" w:sz="4" w:space="0" w:color="auto"/>
              <w:left w:val="single" w:sz="4" w:space="0" w:color="auto"/>
              <w:bottom w:val="single" w:sz="4" w:space="0" w:color="auto"/>
              <w:right w:val="single" w:sz="4" w:space="0" w:color="auto"/>
            </w:tcBorders>
          </w:tcPr>
          <w:p w14:paraId="48A8327D" w14:textId="77777777" w:rsidR="00CB0BF8" w:rsidRDefault="00CB0BF8">
            <w:pPr>
              <w:pStyle w:val="CommentText"/>
            </w:pPr>
          </w:p>
        </w:tc>
      </w:tr>
      <w:tr w:rsidR="00CB0BF8" w14:paraId="28BB0DF9" w14:textId="77777777" w:rsidTr="00327078">
        <w:tc>
          <w:tcPr>
            <w:tcW w:w="3325" w:type="dxa"/>
            <w:tcBorders>
              <w:top w:val="single" w:sz="4" w:space="0" w:color="auto"/>
              <w:left w:val="single" w:sz="4" w:space="0" w:color="auto"/>
              <w:bottom w:val="single" w:sz="4" w:space="0" w:color="auto"/>
              <w:right w:val="single" w:sz="4" w:space="0" w:color="auto"/>
            </w:tcBorders>
            <w:hideMark/>
          </w:tcPr>
          <w:p w14:paraId="2B39BC59" w14:textId="77777777" w:rsidR="00CB0BF8" w:rsidRDefault="00CB0BF8">
            <w:pPr>
              <w:pStyle w:val="CommentText"/>
            </w:pPr>
            <w:r>
              <w:t>Others</w:t>
            </w:r>
          </w:p>
        </w:tc>
        <w:tc>
          <w:tcPr>
            <w:tcW w:w="5670" w:type="dxa"/>
            <w:tcBorders>
              <w:top w:val="single" w:sz="4" w:space="0" w:color="auto"/>
              <w:left w:val="single" w:sz="4" w:space="0" w:color="auto"/>
              <w:bottom w:val="single" w:sz="4" w:space="0" w:color="auto"/>
              <w:right w:val="single" w:sz="4" w:space="0" w:color="auto"/>
            </w:tcBorders>
          </w:tcPr>
          <w:p w14:paraId="60FB6E15" w14:textId="77777777" w:rsidR="00CB0BF8" w:rsidRDefault="00CB0BF8">
            <w:pPr>
              <w:pStyle w:val="CommentText"/>
            </w:pPr>
          </w:p>
        </w:tc>
      </w:tr>
    </w:tbl>
    <w:p w14:paraId="61ABA93E" w14:textId="77777777" w:rsidR="00CB0BF8" w:rsidRPr="00185B9B" w:rsidRDefault="00CB0BF8" w:rsidP="00B305F0">
      <w:pPr>
        <w:pStyle w:val="CommentText"/>
        <w:ind w:left="720"/>
      </w:pPr>
    </w:p>
    <w:p w14:paraId="5EB68B90" w14:textId="77777777" w:rsidR="00D106E8" w:rsidRDefault="00D106E8" w:rsidP="00B305F0">
      <w:pPr>
        <w:ind w:left="720"/>
        <w:rPr>
          <w:color w:val="FF0000"/>
        </w:rPr>
      </w:pPr>
    </w:p>
    <w:p w14:paraId="683B0A95" w14:textId="234BD33C" w:rsidR="004D1AD8" w:rsidRDefault="004D1AD8" w:rsidP="008F7788">
      <w:pPr>
        <w:rPr>
          <w:color w:val="FF0000"/>
        </w:rPr>
      </w:pPr>
    </w:p>
    <w:p w14:paraId="07F36727" w14:textId="4BAFB1AE" w:rsidR="008F7788" w:rsidRPr="00E77BBB" w:rsidRDefault="008F7788" w:rsidP="008F7788">
      <w:pPr>
        <w:pStyle w:val="FHWASubtitle"/>
        <w:rPr>
          <w:color w:val="385623" w:themeColor="accent6" w:themeShade="80"/>
        </w:rPr>
      </w:pPr>
      <w:r w:rsidRPr="00E77BBB">
        <w:rPr>
          <w:color w:val="385623" w:themeColor="accent6" w:themeShade="80"/>
        </w:rPr>
        <w:t>Labor and Workforce Considerations</w:t>
      </w:r>
      <w:r w:rsidR="003B3290">
        <w:rPr>
          <w:color w:val="385623" w:themeColor="accent6" w:themeShade="80"/>
        </w:rPr>
        <w:t xml:space="preserve"> </w:t>
      </w:r>
      <w:r w:rsidR="008F1F0A" w:rsidRPr="00944EF6">
        <w:rPr>
          <w:color w:val="auto"/>
          <w:sz w:val="24"/>
          <w:szCs w:val="24"/>
        </w:rPr>
        <w:t>[</w:t>
      </w:r>
      <w:r w:rsidR="00327078">
        <w:rPr>
          <w:color w:val="auto"/>
          <w:sz w:val="24"/>
          <w:szCs w:val="24"/>
        </w:rPr>
        <w:t xml:space="preserve">REQUIRED - </w:t>
      </w:r>
      <w:r w:rsidR="008F1F0A" w:rsidRPr="00944EF6">
        <w:rPr>
          <w:color w:val="auto"/>
          <w:sz w:val="24"/>
          <w:szCs w:val="24"/>
        </w:rPr>
        <w:t xml:space="preserve">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8F1F0A" w:rsidRPr="00944EF6">
        <w:rPr>
          <w:color w:val="auto"/>
          <w:sz w:val="24"/>
          <w:szCs w:val="24"/>
        </w:rPr>
        <w:t>]</w:t>
      </w:r>
      <w:r w:rsidR="008F1F0A" w:rsidRPr="00B44681">
        <w:rPr>
          <w:color w:val="auto"/>
        </w:rPr>
        <w:t xml:space="preserve">  </w:t>
      </w:r>
      <w:r w:rsidR="003B3290">
        <w:rPr>
          <w:color w:val="385623" w:themeColor="accent6" w:themeShade="80"/>
        </w:rPr>
        <w:t xml:space="preserve"> </w:t>
      </w:r>
    </w:p>
    <w:p w14:paraId="1FC909C1" w14:textId="68E921B2" w:rsidR="008F7788" w:rsidRPr="002121DC" w:rsidRDefault="008F7788" w:rsidP="00F92C4B">
      <w:pPr>
        <w:pStyle w:val="CommentText"/>
        <w:rPr>
          <w:sz w:val="22"/>
          <w:szCs w:val="22"/>
        </w:rPr>
      </w:pPr>
      <w:r w:rsidRPr="00185B9B">
        <w:t>&lt;</w:t>
      </w:r>
      <w:r w:rsidRPr="002121DC">
        <w:rPr>
          <w:sz w:val="22"/>
          <w:szCs w:val="22"/>
        </w:rPr>
        <w:t xml:space="preserve">Insert </w:t>
      </w:r>
      <w:r w:rsidR="00CF3068" w:rsidRPr="002121DC">
        <w:rPr>
          <w:sz w:val="22"/>
          <w:szCs w:val="22"/>
        </w:rPr>
        <w:t xml:space="preserve">updates to </w:t>
      </w:r>
      <w:r w:rsidRPr="002121DC">
        <w:rPr>
          <w:sz w:val="22"/>
          <w:szCs w:val="22"/>
        </w:rPr>
        <w:t xml:space="preserve">discussion </w:t>
      </w:r>
      <w:r w:rsidR="00B34B78" w:rsidRPr="002121DC">
        <w:rPr>
          <w:sz w:val="22"/>
          <w:szCs w:val="22"/>
        </w:rPr>
        <w:t>of how the State will approach training, experience level, and diversity of the workforce installing and maintaining EV charging infrastructure.</w:t>
      </w:r>
      <w:r w:rsidR="00475212" w:rsidRPr="002121DC">
        <w:rPr>
          <w:sz w:val="22"/>
          <w:szCs w:val="22"/>
        </w:rPr>
        <w:t xml:space="preserve"> At a minimum, this should include a discussion of how the State will ensure that the workforce installing, maintaining, and operating chargers has appropriate licenses, certifications and trainings in compliance with </w:t>
      </w:r>
      <w:hyperlink r:id="rId13" w:history="1">
        <w:r w:rsidR="00475212" w:rsidRPr="002121DC">
          <w:rPr>
            <w:rStyle w:val="Hyperlink"/>
            <w:sz w:val="22"/>
            <w:szCs w:val="22"/>
          </w:rPr>
          <w:t>23 CFR 680.106(j)</w:t>
        </w:r>
      </w:hyperlink>
      <w:r w:rsidR="00475212" w:rsidRPr="002121DC">
        <w:rPr>
          <w:sz w:val="22"/>
          <w:szCs w:val="22"/>
        </w:rPr>
        <w:t>. Plans should also discuss how these qualified workforce requirements are enforced through the State’s NEVI contracting and procurement strategies.</w:t>
      </w:r>
      <w:r w:rsidRPr="002121DC">
        <w:rPr>
          <w:sz w:val="22"/>
          <w:szCs w:val="22"/>
        </w:rPr>
        <w:t>&gt;</w:t>
      </w:r>
    </w:p>
    <w:p w14:paraId="5EA6F6E3" w14:textId="12AE015C" w:rsidR="008F7788" w:rsidRPr="002121DC" w:rsidRDefault="008F7788" w:rsidP="008F7788">
      <w:pPr>
        <w:rPr>
          <w:color w:val="FF0000"/>
        </w:rPr>
      </w:pPr>
    </w:p>
    <w:p w14:paraId="3876F0E7" w14:textId="77777777" w:rsidR="00807E1A" w:rsidRDefault="00807E1A" w:rsidP="008F7788">
      <w:pPr>
        <w:rPr>
          <w:color w:val="FF0000"/>
        </w:rPr>
      </w:pPr>
    </w:p>
    <w:p w14:paraId="06574BE7" w14:textId="73195E35" w:rsidR="00BD6BAF" w:rsidRPr="00E77BBB" w:rsidRDefault="000E2A24" w:rsidP="00BD6BAF">
      <w:pPr>
        <w:pStyle w:val="FHWASubtitle"/>
        <w:rPr>
          <w:color w:val="385623" w:themeColor="accent6" w:themeShade="80"/>
        </w:rPr>
      </w:pPr>
      <w:r>
        <w:rPr>
          <w:color w:val="385623" w:themeColor="accent6" w:themeShade="80"/>
        </w:rPr>
        <w:t xml:space="preserve">Physical Security &amp; </w:t>
      </w:r>
      <w:r w:rsidR="00BD6BAF" w:rsidRPr="00E77BBB">
        <w:rPr>
          <w:color w:val="385623" w:themeColor="accent6" w:themeShade="80"/>
        </w:rPr>
        <w:t>Cybersecurity</w:t>
      </w:r>
      <w:r w:rsidR="003B3290" w:rsidRPr="00B44681">
        <w:rPr>
          <w:color w:val="auto"/>
        </w:rPr>
        <w:t xml:space="preserve"> </w:t>
      </w:r>
      <w:r w:rsidR="008F1F0A" w:rsidRPr="00944EF6">
        <w:rPr>
          <w:color w:val="auto"/>
          <w:sz w:val="24"/>
          <w:szCs w:val="24"/>
        </w:rPr>
        <w:t xml:space="preserve">[Updated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8F1F0A" w:rsidRPr="00944EF6">
        <w:rPr>
          <w:color w:val="auto"/>
          <w:sz w:val="24"/>
          <w:szCs w:val="24"/>
        </w:rPr>
        <w:t>]</w:t>
      </w:r>
      <w:r w:rsidR="008F1F0A" w:rsidRPr="00B44681">
        <w:rPr>
          <w:color w:val="auto"/>
        </w:rPr>
        <w:t xml:space="preserve">  </w:t>
      </w:r>
    </w:p>
    <w:p w14:paraId="5E079616" w14:textId="13529F83" w:rsidR="00BD6BAF" w:rsidRPr="00185B9B" w:rsidRDefault="00BD6BAF" w:rsidP="00BD6BAF">
      <w:r w:rsidRPr="00185B9B">
        <w:t xml:space="preserve">&lt;Insert </w:t>
      </w:r>
      <w:r w:rsidR="00CF3068">
        <w:t xml:space="preserve">updates to </w:t>
      </w:r>
      <w:r w:rsidRPr="00185B9B">
        <w:t xml:space="preserve">discussion </w:t>
      </w:r>
      <w:r w:rsidR="00B34B78">
        <w:t xml:space="preserve">of how the State will address </w:t>
      </w:r>
      <w:r w:rsidR="000E2A24">
        <w:t xml:space="preserve">physical security and </w:t>
      </w:r>
      <w:r w:rsidR="00B34B78">
        <w:t>cybersecurity of EV charging stations</w:t>
      </w:r>
      <w:r w:rsidR="001C14C0">
        <w:t xml:space="preserve">, including a discussion of changes to address compliance with minimum standards for EV charging infrastructure under </w:t>
      </w:r>
      <w:hyperlink r:id="rId14" w:history="1">
        <w:r w:rsidR="001C14C0">
          <w:rPr>
            <w:rStyle w:val="Hyperlink"/>
          </w:rPr>
          <w:t>23 CFR 680</w:t>
        </w:r>
      </w:hyperlink>
      <w:r w:rsidR="00B34B78">
        <w:t>.</w:t>
      </w:r>
      <w:r w:rsidRPr="00185B9B">
        <w:t>&gt;</w:t>
      </w:r>
    </w:p>
    <w:p w14:paraId="4C146E95" w14:textId="3C11E5C6" w:rsidR="00113A26" w:rsidRDefault="00113A26" w:rsidP="0009024C"/>
    <w:p w14:paraId="15A8A922" w14:textId="77777777" w:rsidR="004D1AD8" w:rsidRDefault="004D1AD8" w:rsidP="0009024C"/>
    <w:p w14:paraId="2F9337F4" w14:textId="483E1BC5" w:rsidR="00107C73" w:rsidRPr="00E77BBB" w:rsidRDefault="00877A59" w:rsidP="003620DF">
      <w:pPr>
        <w:pStyle w:val="FHWASubtitle"/>
        <w:rPr>
          <w:color w:val="385623" w:themeColor="accent6" w:themeShade="80"/>
        </w:rPr>
      </w:pPr>
      <w:r w:rsidRPr="00E77BBB">
        <w:rPr>
          <w:color w:val="385623" w:themeColor="accent6" w:themeShade="80"/>
        </w:rPr>
        <w:t>Program Evaluation</w:t>
      </w:r>
      <w:r w:rsidR="00107C73" w:rsidRPr="00E77BBB">
        <w:rPr>
          <w:color w:val="385623" w:themeColor="accent6" w:themeShade="80"/>
        </w:rPr>
        <w:t xml:space="preserve"> </w:t>
      </w:r>
      <w:bookmarkEnd w:id="11"/>
      <w:r w:rsidR="008F1F0A" w:rsidRPr="00944EF6">
        <w:rPr>
          <w:color w:val="auto"/>
          <w:sz w:val="24"/>
          <w:szCs w:val="24"/>
        </w:rPr>
        <w:t>[</w:t>
      </w:r>
      <w:r w:rsidR="00327078">
        <w:rPr>
          <w:color w:val="auto"/>
          <w:sz w:val="24"/>
          <w:szCs w:val="24"/>
        </w:rPr>
        <w:t xml:space="preserve">REQUIRED - </w:t>
      </w:r>
      <w:r w:rsidR="008F1F0A" w:rsidRPr="00944EF6">
        <w:rPr>
          <w:color w:val="auto"/>
          <w:sz w:val="24"/>
          <w:szCs w:val="24"/>
        </w:rPr>
        <w:t xml:space="preserve">Updated </w:t>
      </w:r>
      <w:r w:rsidR="00C67BCB" w:rsidRPr="00C67BCB">
        <w:rPr>
          <w:color w:val="auto"/>
          <w:sz w:val="24"/>
          <w:szCs w:val="24"/>
        </w:rPr>
        <w:t>6/</w:t>
      </w:r>
      <w:r w:rsidR="0096757B">
        <w:rPr>
          <w:color w:val="auto"/>
          <w:sz w:val="24"/>
          <w:szCs w:val="24"/>
        </w:rPr>
        <w:t>2</w:t>
      </w:r>
      <w:r w:rsidR="00C67BCB" w:rsidRPr="00C67BCB">
        <w:rPr>
          <w:color w:val="auto"/>
          <w:sz w:val="24"/>
          <w:szCs w:val="24"/>
        </w:rPr>
        <w:t>/23</w:t>
      </w:r>
      <w:r w:rsidR="008F1F0A" w:rsidRPr="00944EF6">
        <w:rPr>
          <w:color w:val="auto"/>
          <w:sz w:val="24"/>
          <w:szCs w:val="24"/>
        </w:rPr>
        <w:t>]</w:t>
      </w:r>
      <w:r w:rsidR="008F1F0A" w:rsidRPr="00B44681">
        <w:rPr>
          <w:color w:val="auto"/>
        </w:rPr>
        <w:t xml:space="preserve">  </w:t>
      </w:r>
    </w:p>
    <w:p w14:paraId="3DD659A4" w14:textId="52BE85FA" w:rsidR="00107C73" w:rsidRPr="007371F5" w:rsidRDefault="0021651A" w:rsidP="00BD76FC">
      <w:r w:rsidRPr="007371F5">
        <w:t xml:space="preserve">&lt;Include </w:t>
      </w:r>
      <w:r w:rsidR="00CF3068">
        <w:t xml:space="preserve">updates to </w:t>
      </w:r>
      <w:r w:rsidRPr="007371F5">
        <w:t xml:space="preserve">a summary of how the State will monitor </w:t>
      </w:r>
      <w:r w:rsidR="0035105C">
        <w:t xml:space="preserve">and report </w:t>
      </w:r>
      <w:r w:rsidRPr="007371F5">
        <w:t xml:space="preserve">progress of the overall statewide </w:t>
      </w:r>
      <w:r w:rsidR="00457C19" w:rsidRPr="007371F5">
        <w:t>E</w:t>
      </w:r>
      <w:r w:rsidR="00807E1A" w:rsidRPr="007371F5">
        <w:t xml:space="preserve">lectric Vehicle </w:t>
      </w:r>
      <w:r w:rsidR="00457C19" w:rsidRPr="007371F5">
        <w:t>AFC</w:t>
      </w:r>
      <w:r w:rsidRPr="007371F5">
        <w:t xml:space="preserve"> network</w:t>
      </w:r>
      <w:r w:rsidR="00475815" w:rsidRPr="007371F5">
        <w:t xml:space="preserve"> and update this plan </w:t>
      </w:r>
      <w:r w:rsidR="00807E1A" w:rsidRPr="007371F5">
        <w:t xml:space="preserve">annually </w:t>
      </w:r>
      <w:r w:rsidR="00475815" w:rsidRPr="007371F5">
        <w:t>to address opportunities for improvement</w:t>
      </w:r>
      <w:r w:rsidR="007371F5" w:rsidRPr="007371F5">
        <w:t>.</w:t>
      </w:r>
      <w:r w:rsidR="000E2A24">
        <w:t xml:space="preserve"> If applicable, this section </w:t>
      </w:r>
      <w:r w:rsidR="000E2A24" w:rsidRPr="00D17337">
        <w:t xml:space="preserve">should provide a summary and assessment of the performance of EV chargers based on data submitted to the Joint Office in compliance with </w:t>
      </w:r>
      <w:hyperlink r:id="rId15" w:history="1">
        <w:r w:rsidR="000E2A24" w:rsidRPr="0091601D">
          <w:rPr>
            <w:rStyle w:val="Hyperlink"/>
          </w:rPr>
          <w:t>23 CFR 680.112</w:t>
        </w:r>
      </w:hyperlink>
      <w:r w:rsidR="000E2A24" w:rsidRPr="00D17337">
        <w:t xml:space="preserve"> (see Section V</w:t>
      </w:r>
      <w:r w:rsidR="000E2A24">
        <w:t>-</w:t>
      </w:r>
      <w:r w:rsidR="000E2A24" w:rsidRPr="00D17337">
        <w:t>B</w:t>
      </w:r>
      <w:r w:rsidR="000E2A24">
        <w:t xml:space="preserve"> in the NEVI Formula Program Guidance</w:t>
      </w:r>
      <w:r w:rsidR="000E2A24" w:rsidRPr="00D17337">
        <w:t xml:space="preserve"> for more information)</w:t>
      </w:r>
      <w:r w:rsidR="000E2A24">
        <w:t>.</w:t>
      </w:r>
      <w:r w:rsidR="00475815" w:rsidRPr="007371F5">
        <w:t>&gt;</w:t>
      </w:r>
      <w:r w:rsidRPr="007371F5">
        <w:t xml:space="preserve"> </w:t>
      </w:r>
    </w:p>
    <w:p w14:paraId="52B49CDE" w14:textId="3D0A96E6" w:rsidR="00107C73" w:rsidRDefault="00107C73" w:rsidP="00BD76FC">
      <w:pPr>
        <w:rPr>
          <w:b/>
          <w:bCs/>
          <w:i/>
          <w:iCs/>
        </w:rPr>
      </w:pPr>
    </w:p>
    <w:p w14:paraId="5A4BC7D3" w14:textId="77777777" w:rsidR="00807E1A" w:rsidRPr="00255B10" w:rsidRDefault="00807E1A" w:rsidP="00BD76FC">
      <w:pPr>
        <w:rPr>
          <w:b/>
          <w:bCs/>
          <w:i/>
          <w:iCs/>
        </w:rPr>
      </w:pPr>
    </w:p>
    <w:p w14:paraId="00FED5B7" w14:textId="516CF359" w:rsidR="00A47DAE" w:rsidRPr="00E77BBB" w:rsidRDefault="00BD6BAF" w:rsidP="000934D2">
      <w:pPr>
        <w:pStyle w:val="FHWASubtitle"/>
        <w:rPr>
          <w:color w:val="385623" w:themeColor="accent6" w:themeShade="80"/>
        </w:rPr>
      </w:pPr>
      <w:bookmarkStart w:id="12" w:name="_Toc90022595"/>
      <w:r w:rsidRPr="00E77BBB">
        <w:rPr>
          <w:color w:val="385623" w:themeColor="accent6" w:themeShade="80"/>
        </w:rPr>
        <w:t>Discretionary Exceptions</w:t>
      </w:r>
      <w:r w:rsidR="00A47DAE" w:rsidRPr="00E77BBB">
        <w:rPr>
          <w:color w:val="385623" w:themeColor="accent6" w:themeShade="80"/>
        </w:rPr>
        <w:t xml:space="preserve"> </w:t>
      </w:r>
      <w:bookmarkEnd w:id="12"/>
      <w:r w:rsidR="00B80A60" w:rsidRPr="00B44681">
        <w:rPr>
          <w:color w:val="auto"/>
          <w:sz w:val="24"/>
          <w:szCs w:val="24"/>
        </w:rPr>
        <w:t xml:space="preserve">[if </w:t>
      </w:r>
      <w:r w:rsidR="00B80A60">
        <w:rPr>
          <w:color w:val="auto"/>
          <w:sz w:val="24"/>
          <w:szCs w:val="24"/>
        </w:rPr>
        <w:t>any</w:t>
      </w:r>
      <w:r w:rsidR="00B80A60" w:rsidRPr="00B44681">
        <w:rPr>
          <w:color w:val="auto"/>
          <w:sz w:val="24"/>
          <w:szCs w:val="24"/>
        </w:rPr>
        <w:t>]</w:t>
      </w:r>
      <w:r w:rsidR="00B80A60" w:rsidRPr="00E77BBB" w:rsidDel="00B80A60">
        <w:rPr>
          <w:color w:val="385623" w:themeColor="accent6" w:themeShade="80"/>
        </w:rPr>
        <w:t xml:space="preserve"> </w:t>
      </w:r>
    </w:p>
    <w:p w14:paraId="75AC5426" w14:textId="673F1D7D" w:rsidR="00B870EB" w:rsidRPr="00B870EB" w:rsidRDefault="00B870EB" w:rsidP="00B870EB">
      <w:pPr>
        <w:rPr>
          <w:color w:val="FF0000"/>
          <w:highlight w:val="yellow"/>
        </w:rPr>
      </w:pPr>
      <w:r w:rsidRPr="007371F5">
        <w:t>&lt;</w:t>
      </w:r>
      <w:r w:rsidR="00BD6BAF" w:rsidRPr="007371F5">
        <w:t>Identify and support the need for any requested exceptions, if applicable</w:t>
      </w:r>
      <w:r w:rsidR="005C7638">
        <w:t xml:space="preserve">, from the </w:t>
      </w:r>
      <w:r w:rsidR="0072697A">
        <w:t xml:space="preserve">geographic </w:t>
      </w:r>
      <w:r w:rsidR="005C7638">
        <w:t>requirement</w:t>
      </w:r>
      <w:r w:rsidR="0072697A">
        <w:t>s</w:t>
      </w:r>
      <w:r w:rsidR="005C7638">
        <w:t xml:space="preserve"> that charging infrastructure is installed every 50 </w:t>
      </w:r>
      <w:r w:rsidR="002D71DE">
        <w:t>mile</w:t>
      </w:r>
      <w:r w:rsidR="005C7638">
        <w:t xml:space="preserve">s along that State’s </w:t>
      </w:r>
      <w:r w:rsidR="007D0754">
        <w:t>designated electric vehicle alternative fueling corridors</w:t>
      </w:r>
      <w:r w:rsidR="001C14C0">
        <w:t xml:space="preserve"> and</w:t>
      </w:r>
      <w:r w:rsidR="005C7638">
        <w:t xml:space="preserve"> within 1 travel mile of the </w:t>
      </w:r>
      <w:r w:rsidR="0099507B">
        <w:t>corridor</w:t>
      </w:r>
      <w:r w:rsidRPr="007371F5">
        <w:t>.&gt;</w:t>
      </w:r>
    </w:p>
    <w:p w14:paraId="305537A2" w14:textId="3EADA6E8" w:rsidR="00A47DAE" w:rsidRDefault="00A47DAE" w:rsidP="00BD76FC">
      <w:pPr>
        <w:rPr>
          <w:rFonts w:ascii="Arial" w:hAnsi="Arial" w:cs="Arial"/>
          <w:b/>
          <w:bCs/>
          <w:color w:val="4472C4" w:themeColor="accent1"/>
          <w:sz w:val="34"/>
          <w:szCs w:val="34"/>
        </w:rPr>
      </w:pPr>
    </w:p>
    <w:p w14:paraId="26E8D844" w14:textId="77777777" w:rsidR="00807E1A" w:rsidRDefault="00807E1A" w:rsidP="00BD76FC">
      <w:pPr>
        <w:rPr>
          <w:rFonts w:ascii="Arial" w:hAnsi="Arial" w:cs="Arial"/>
          <w:b/>
          <w:bCs/>
          <w:color w:val="4472C4" w:themeColor="accent1"/>
          <w:sz w:val="34"/>
          <w:szCs w:val="34"/>
        </w:rPr>
      </w:pPr>
    </w:p>
    <w:p w14:paraId="0F3DA673" w14:textId="5BC07AD7" w:rsidR="00A47DAE" w:rsidRPr="00E77BBB" w:rsidRDefault="00A47DAE" w:rsidP="00BD76FC">
      <w:pPr>
        <w:pStyle w:val="FHWASubtitle"/>
        <w:rPr>
          <w:color w:val="385623" w:themeColor="accent6" w:themeShade="80"/>
        </w:rPr>
      </w:pPr>
      <w:bookmarkStart w:id="13" w:name="_Toc90022597"/>
      <w:r w:rsidRPr="00E77BBB">
        <w:rPr>
          <w:color w:val="385623" w:themeColor="accent6" w:themeShade="80"/>
        </w:rPr>
        <w:t xml:space="preserve">Appendix </w:t>
      </w:r>
      <w:r w:rsidR="0045251D" w:rsidRPr="00E77BBB">
        <w:rPr>
          <w:color w:val="385623" w:themeColor="accent6" w:themeShade="80"/>
        </w:rPr>
        <w:t>A</w:t>
      </w:r>
      <w:r w:rsidRPr="00E77BBB">
        <w:rPr>
          <w:color w:val="385623" w:themeColor="accent6" w:themeShade="80"/>
        </w:rPr>
        <w:t xml:space="preserve">: Supporting Materials </w:t>
      </w:r>
      <w:r w:rsidR="00B80A60" w:rsidRPr="00B44681">
        <w:rPr>
          <w:color w:val="auto"/>
          <w:sz w:val="24"/>
          <w:szCs w:val="24"/>
        </w:rPr>
        <w:t>[if applicable]</w:t>
      </w:r>
      <w:r w:rsidR="00B80A60" w:rsidRPr="00E77BBB" w:rsidDel="00B80A60">
        <w:rPr>
          <w:color w:val="385623" w:themeColor="accent6" w:themeShade="80"/>
        </w:rPr>
        <w:t xml:space="preserve"> </w:t>
      </w:r>
      <w:bookmarkEnd w:id="13"/>
    </w:p>
    <w:p w14:paraId="305619E9" w14:textId="722CBE95" w:rsidR="003D3325" w:rsidRDefault="003D3325" w:rsidP="00632641"/>
    <w:p w14:paraId="299082EC" w14:textId="7B525085" w:rsidR="000934D2" w:rsidRDefault="000934D2">
      <w:pPr>
        <w:widowControl/>
        <w:autoSpaceDE/>
        <w:autoSpaceDN/>
        <w:spacing w:after="160" w:line="259" w:lineRule="auto"/>
        <w:rPr>
          <w:rFonts w:ascii="Calibri" w:hAnsi="Calibri" w:cs="Calibri"/>
          <w:color w:val="194178"/>
          <w:sz w:val="44"/>
          <w:szCs w:val="44"/>
        </w:rPr>
      </w:pPr>
    </w:p>
    <w:sectPr w:rsidR="000934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5C21" w14:textId="77777777" w:rsidR="00C46B0B" w:rsidRDefault="00C46B0B" w:rsidP="00107C73">
      <w:r>
        <w:separator/>
      </w:r>
    </w:p>
  </w:endnote>
  <w:endnote w:type="continuationSeparator" w:id="0">
    <w:p w14:paraId="7C5A5496" w14:textId="77777777" w:rsidR="00C46B0B" w:rsidRDefault="00C46B0B" w:rsidP="00107C73">
      <w:r>
        <w:continuationSeparator/>
      </w:r>
    </w:p>
  </w:endnote>
  <w:endnote w:type="continuationNotice" w:id="1">
    <w:p w14:paraId="390B7084" w14:textId="77777777" w:rsidR="00C46B0B" w:rsidRDefault="00C46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53928"/>
      <w:docPartObj>
        <w:docPartGallery w:val="Page Numbers (Bottom of Page)"/>
        <w:docPartUnique/>
      </w:docPartObj>
    </w:sdtPr>
    <w:sdtEndPr>
      <w:rPr>
        <w:noProof/>
      </w:rPr>
    </w:sdtEndPr>
    <w:sdtContent>
      <w:p w14:paraId="413831B5" w14:textId="2946573E" w:rsidR="00457C19" w:rsidRDefault="00457C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6E280" w14:textId="2CD689FA" w:rsidR="00DD543C" w:rsidRDefault="00DD543C" w:rsidP="00BD76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3030" w14:textId="77777777" w:rsidR="00C46B0B" w:rsidRDefault="00C46B0B" w:rsidP="00107C73">
      <w:r>
        <w:separator/>
      </w:r>
    </w:p>
  </w:footnote>
  <w:footnote w:type="continuationSeparator" w:id="0">
    <w:p w14:paraId="4EA09891" w14:textId="77777777" w:rsidR="00C46B0B" w:rsidRDefault="00C46B0B" w:rsidP="00107C73">
      <w:r>
        <w:continuationSeparator/>
      </w:r>
    </w:p>
  </w:footnote>
  <w:footnote w:type="continuationNotice" w:id="1">
    <w:p w14:paraId="4D92EEA4" w14:textId="77777777" w:rsidR="00C46B0B" w:rsidRDefault="00C46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EBD"/>
    <w:multiLevelType w:val="hybridMultilevel"/>
    <w:tmpl w:val="76E0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4B8"/>
    <w:multiLevelType w:val="hybridMultilevel"/>
    <w:tmpl w:val="5DF2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3919"/>
    <w:multiLevelType w:val="hybridMultilevel"/>
    <w:tmpl w:val="37EE0852"/>
    <w:lvl w:ilvl="0" w:tplc="2FA2DB1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E4883"/>
    <w:multiLevelType w:val="hybridMultilevel"/>
    <w:tmpl w:val="0362FFEC"/>
    <w:lvl w:ilvl="0" w:tplc="3CB66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24B1"/>
    <w:multiLevelType w:val="hybridMultilevel"/>
    <w:tmpl w:val="427C11AC"/>
    <w:lvl w:ilvl="0" w:tplc="3CB66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B5FA9"/>
    <w:multiLevelType w:val="hybridMultilevel"/>
    <w:tmpl w:val="2B024CCE"/>
    <w:lvl w:ilvl="0" w:tplc="CC6ABE44">
      <w:start w:val="1"/>
      <w:numFmt w:val="bullet"/>
      <w:lvlText w:val=""/>
      <w:lvlJc w:val="left"/>
      <w:pPr>
        <w:ind w:left="720" w:hanging="360"/>
      </w:pPr>
      <w:rPr>
        <w:rFonts w:ascii="Symbol" w:hAnsi="Symbol" w:hint="default"/>
      </w:rPr>
    </w:lvl>
    <w:lvl w:ilvl="1" w:tplc="D1BA79F6">
      <w:start w:val="1"/>
      <w:numFmt w:val="bullet"/>
      <w:lvlText w:val="o"/>
      <w:lvlJc w:val="left"/>
      <w:pPr>
        <w:ind w:left="1440" w:hanging="360"/>
      </w:pPr>
      <w:rPr>
        <w:rFonts w:ascii="Courier New" w:hAnsi="Courier New" w:hint="default"/>
      </w:rPr>
    </w:lvl>
    <w:lvl w:ilvl="2" w:tplc="73A04264">
      <w:start w:val="1"/>
      <w:numFmt w:val="bullet"/>
      <w:lvlText w:val=""/>
      <w:lvlJc w:val="left"/>
      <w:pPr>
        <w:ind w:left="2160" w:hanging="360"/>
      </w:pPr>
      <w:rPr>
        <w:rFonts w:ascii="Wingdings" w:hAnsi="Wingdings" w:hint="default"/>
      </w:rPr>
    </w:lvl>
    <w:lvl w:ilvl="3" w:tplc="696E3254">
      <w:start w:val="1"/>
      <w:numFmt w:val="bullet"/>
      <w:lvlText w:val=""/>
      <w:lvlJc w:val="left"/>
      <w:pPr>
        <w:ind w:left="2880" w:hanging="360"/>
      </w:pPr>
      <w:rPr>
        <w:rFonts w:ascii="Symbol" w:hAnsi="Symbol" w:hint="default"/>
      </w:rPr>
    </w:lvl>
    <w:lvl w:ilvl="4" w:tplc="127EC134">
      <w:start w:val="1"/>
      <w:numFmt w:val="bullet"/>
      <w:lvlText w:val="o"/>
      <w:lvlJc w:val="left"/>
      <w:pPr>
        <w:ind w:left="3600" w:hanging="360"/>
      </w:pPr>
      <w:rPr>
        <w:rFonts w:ascii="Courier New" w:hAnsi="Courier New" w:hint="default"/>
      </w:rPr>
    </w:lvl>
    <w:lvl w:ilvl="5" w:tplc="9F027D02">
      <w:start w:val="1"/>
      <w:numFmt w:val="bullet"/>
      <w:lvlText w:val=""/>
      <w:lvlJc w:val="left"/>
      <w:pPr>
        <w:ind w:left="4320" w:hanging="360"/>
      </w:pPr>
      <w:rPr>
        <w:rFonts w:ascii="Wingdings" w:hAnsi="Wingdings" w:hint="default"/>
      </w:rPr>
    </w:lvl>
    <w:lvl w:ilvl="6" w:tplc="44CE0E78">
      <w:start w:val="1"/>
      <w:numFmt w:val="bullet"/>
      <w:lvlText w:val=""/>
      <w:lvlJc w:val="left"/>
      <w:pPr>
        <w:ind w:left="5040" w:hanging="360"/>
      </w:pPr>
      <w:rPr>
        <w:rFonts w:ascii="Symbol" w:hAnsi="Symbol" w:hint="default"/>
      </w:rPr>
    </w:lvl>
    <w:lvl w:ilvl="7" w:tplc="5FB622D6">
      <w:start w:val="1"/>
      <w:numFmt w:val="bullet"/>
      <w:lvlText w:val="o"/>
      <w:lvlJc w:val="left"/>
      <w:pPr>
        <w:ind w:left="5760" w:hanging="360"/>
      </w:pPr>
      <w:rPr>
        <w:rFonts w:ascii="Courier New" w:hAnsi="Courier New" w:hint="default"/>
      </w:rPr>
    </w:lvl>
    <w:lvl w:ilvl="8" w:tplc="C66E1162">
      <w:start w:val="1"/>
      <w:numFmt w:val="bullet"/>
      <w:lvlText w:val=""/>
      <w:lvlJc w:val="left"/>
      <w:pPr>
        <w:ind w:left="6480" w:hanging="360"/>
      </w:pPr>
      <w:rPr>
        <w:rFonts w:ascii="Wingdings" w:hAnsi="Wingdings" w:hint="default"/>
      </w:rPr>
    </w:lvl>
  </w:abstractNum>
  <w:abstractNum w:abstractNumId="6" w15:restartNumberingAfterBreak="0">
    <w:nsid w:val="121435AA"/>
    <w:multiLevelType w:val="hybridMultilevel"/>
    <w:tmpl w:val="D234BAD0"/>
    <w:lvl w:ilvl="0" w:tplc="B2363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15878"/>
    <w:multiLevelType w:val="hybridMultilevel"/>
    <w:tmpl w:val="31F038D2"/>
    <w:lvl w:ilvl="0" w:tplc="58A8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773AE"/>
    <w:multiLevelType w:val="hybridMultilevel"/>
    <w:tmpl w:val="776A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304C7"/>
    <w:multiLevelType w:val="hybridMultilevel"/>
    <w:tmpl w:val="C8B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024C8"/>
    <w:multiLevelType w:val="hybridMultilevel"/>
    <w:tmpl w:val="75B4DE14"/>
    <w:lvl w:ilvl="0" w:tplc="A8C04B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E34133"/>
    <w:multiLevelType w:val="hybridMultilevel"/>
    <w:tmpl w:val="CADA9EB6"/>
    <w:lvl w:ilvl="0" w:tplc="0602DA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4526F8"/>
    <w:multiLevelType w:val="hybridMultilevel"/>
    <w:tmpl w:val="AD622DC8"/>
    <w:lvl w:ilvl="0" w:tplc="C694CE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82B6A"/>
    <w:multiLevelType w:val="hybridMultilevel"/>
    <w:tmpl w:val="5BC04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C971D7"/>
    <w:multiLevelType w:val="hybridMultilevel"/>
    <w:tmpl w:val="BF0E0A14"/>
    <w:lvl w:ilvl="0" w:tplc="19BA4D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6397C"/>
    <w:multiLevelType w:val="hybridMultilevel"/>
    <w:tmpl w:val="D97867D2"/>
    <w:lvl w:ilvl="0" w:tplc="931866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D2565"/>
    <w:multiLevelType w:val="hybridMultilevel"/>
    <w:tmpl w:val="9CE0E3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0E0711"/>
    <w:multiLevelType w:val="hybridMultilevel"/>
    <w:tmpl w:val="6F2C53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1C0F87"/>
    <w:multiLevelType w:val="hybridMultilevel"/>
    <w:tmpl w:val="88ACAE7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996E91"/>
    <w:multiLevelType w:val="hybridMultilevel"/>
    <w:tmpl w:val="CB7CDF18"/>
    <w:lvl w:ilvl="0" w:tplc="18D402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3F57BF"/>
    <w:multiLevelType w:val="hybridMultilevel"/>
    <w:tmpl w:val="E50A4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965D8D"/>
    <w:multiLevelType w:val="hybridMultilevel"/>
    <w:tmpl w:val="494C6A4A"/>
    <w:lvl w:ilvl="0" w:tplc="B2363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1388C"/>
    <w:multiLevelType w:val="hybridMultilevel"/>
    <w:tmpl w:val="A4302FA2"/>
    <w:lvl w:ilvl="0" w:tplc="19BA4D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70BB2"/>
    <w:multiLevelType w:val="hybridMultilevel"/>
    <w:tmpl w:val="B23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87F68"/>
    <w:multiLevelType w:val="hybridMultilevel"/>
    <w:tmpl w:val="1DD25DB2"/>
    <w:lvl w:ilvl="0" w:tplc="F29CF116">
      <w:start w:val="1"/>
      <w:numFmt w:val="decimal"/>
      <w:lvlText w:val="%1."/>
      <w:lvlJc w:val="left"/>
      <w:pPr>
        <w:tabs>
          <w:tab w:val="num" w:pos="720"/>
        </w:tabs>
        <w:ind w:left="720" w:hanging="360"/>
      </w:pPr>
    </w:lvl>
    <w:lvl w:ilvl="1" w:tplc="7966C5B4">
      <w:start w:val="1"/>
      <w:numFmt w:val="decimal"/>
      <w:lvlText w:val="%2."/>
      <w:lvlJc w:val="left"/>
      <w:pPr>
        <w:tabs>
          <w:tab w:val="num" w:pos="1440"/>
        </w:tabs>
        <w:ind w:left="1440" w:hanging="360"/>
      </w:pPr>
    </w:lvl>
    <w:lvl w:ilvl="2" w:tplc="2CB0DDF8">
      <w:start w:val="1"/>
      <w:numFmt w:val="decimal"/>
      <w:lvlText w:val="%3."/>
      <w:lvlJc w:val="left"/>
      <w:pPr>
        <w:tabs>
          <w:tab w:val="num" w:pos="2160"/>
        </w:tabs>
        <w:ind w:left="2160" w:hanging="360"/>
      </w:pPr>
    </w:lvl>
    <w:lvl w:ilvl="3" w:tplc="F3A6CFAA">
      <w:start w:val="1"/>
      <w:numFmt w:val="decimal"/>
      <w:lvlText w:val="%4."/>
      <w:lvlJc w:val="left"/>
      <w:pPr>
        <w:tabs>
          <w:tab w:val="num" w:pos="2880"/>
        </w:tabs>
        <w:ind w:left="2880" w:hanging="360"/>
      </w:pPr>
    </w:lvl>
    <w:lvl w:ilvl="4" w:tplc="50C61540">
      <w:start w:val="1"/>
      <w:numFmt w:val="decimal"/>
      <w:lvlText w:val="%5."/>
      <w:lvlJc w:val="left"/>
      <w:pPr>
        <w:tabs>
          <w:tab w:val="num" w:pos="3600"/>
        </w:tabs>
        <w:ind w:left="3600" w:hanging="360"/>
      </w:pPr>
    </w:lvl>
    <w:lvl w:ilvl="5" w:tplc="84C891B6">
      <w:start w:val="1"/>
      <w:numFmt w:val="decimal"/>
      <w:lvlText w:val="%6."/>
      <w:lvlJc w:val="left"/>
      <w:pPr>
        <w:tabs>
          <w:tab w:val="num" w:pos="4320"/>
        </w:tabs>
        <w:ind w:left="4320" w:hanging="360"/>
      </w:pPr>
    </w:lvl>
    <w:lvl w:ilvl="6" w:tplc="7890B822">
      <w:start w:val="1"/>
      <w:numFmt w:val="decimal"/>
      <w:lvlText w:val="%7."/>
      <w:lvlJc w:val="left"/>
      <w:pPr>
        <w:tabs>
          <w:tab w:val="num" w:pos="5040"/>
        </w:tabs>
        <w:ind w:left="5040" w:hanging="360"/>
      </w:pPr>
    </w:lvl>
    <w:lvl w:ilvl="7" w:tplc="97B0C31E">
      <w:start w:val="1"/>
      <w:numFmt w:val="decimal"/>
      <w:lvlText w:val="%8."/>
      <w:lvlJc w:val="left"/>
      <w:pPr>
        <w:tabs>
          <w:tab w:val="num" w:pos="5760"/>
        </w:tabs>
        <w:ind w:left="5760" w:hanging="360"/>
      </w:pPr>
    </w:lvl>
    <w:lvl w:ilvl="8" w:tplc="D422A3A4">
      <w:start w:val="1"/>
      <w:numFmt w:val="decimal"/>
      <w:lvlText w:val="%9."/>
      <w:lvlJc w:val="left"/>
      <w:pPr>
        <w:tabs>
          <w:tab w:val="num" w:pos="6480"/>
        </w:tabs>
        <w:ind w:left="6480" w:hanging="360"/>
      </w:pPr>
    </w:lvl>
  </w:abstractNum>
  <w:abstractNum w:abstractNumId="25" w15:restartNumberingAfterBreak="0">
    <w:nsid w:val="574835A8"/>
    <w:multiLevelType w:val="hybridMultilevel"/>
    <w:tmpl w:val="134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443C9"/>
    <w:multiLevelType w:val="hybridMultilevel"/>
    <w:tmpl w:val="9092A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894B7C"/>
    <w:multiLevelType w:val="hybridMultilevel"/>
    <w:tmpl w:val="22D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01C77"/>
    <w:multiLevelType w:val="hybridMultilevel"/>
    <w:tmpl w:val="7370F8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A23D71"/>
    <w:multiLevelType w:val="hybridMultilevel"/>
    <w:tmpl w:val="7FC416EC"/>
    <w:lvl w:ilvl="0" w:tplc="70D04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42E84"/>
    <w:multiLevelType w:val="hybridMultilevel"/>
    <w:tmpl w:val="8C180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8FA1280"/>
    <w:multiLevelType w:val="hybridMultilevel"/>
    <w:tmpl w:val="55F88EF2"/>
    <w:lvl w:ilvl="0" w:tplc="A8C04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663101"/>
    <w:multiLevelType w:val="hybridMultilevel"/>
    <w:tmpl w:val="704ED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7105FE"/>
    <w:multiLevelType w:val="hybridMultilevel"/>
    <w:tmpl w:val="393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47635"/>
    <w:multiLevelType w:val="hybridMultilevel"/>
    <w:tmpl w:val="2726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66B04"/>
    <w:multiLevelType w:val="hybridMultilevel"/>
    <w:tmpl w:val="23CA62A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F08D87"/>
    <w:multiLevelType w:val="hybridMultilevel"/>
    <w:tmpl w:val="FFFFFFFF"/>
    <w:lvl w:ilvl="0" w:tplc="1A6269E4">
      <w:start w:val="1"/>
      <w:numFmt w:val="bullet"/>
      <w:lvlText w:val=""/>
      <w:lvlJc w:val="left"/>
      <w:pPr>
        <w:ind w:left="720" w:hanging="360"/>
      </w:pPr>
      <w:rPr>
        <w:rFonts w:ascii="Symbol" w:hAnsi="Symbol" w:hint="default"/>
      </w:rPr>
    </w:lvl>
    <w:lvl w:ilvl="1" w:tplc="A8FA118A">
      <w:start w:val="1"/>
      <w:numFmt w:val="bullet"/>
      <w:lvlText w:val=""/>
      <w:lvlJc w:val="left"/>
      <w:pPr>
        <w:ind w:left="1440" w:hanging="360"/>
      </w:pPr>
      <w:rPr>
        <w:rFonts w:ascii="Symbol" w:hAnsi="Symbol" w:hint="default"/>
      </w:rPr>
    </w:lvl>
    <w:lvl w:ilvl="2" w:tplc="51A0D5FA">
      <w:start w:val="1"/>
      <w:numFmt w:val="bullet"/>
      <w:lvlText w:val=""/>
      <w:lvlJc w:val="left"/>
      <w:pPr>
        <w:ind w:left="2160" w:hanging="360"/>
      </w:pPr>
      <w:rPr>
        <w:rFonts w:ascii="Wingdings" w:hAnsi="Wingdings" w:hint="default"/>
      </w:rPr>
    </w:lvl>
    <w:lvl w:ilvl="3" w:tplc="856C19A8">
      <w:start w:val="1"/>
      <w:numFmt w:val="bullet"/>
      <w:lvlText w:val=""/>
      <w:lvlJc w:val="left"/>
      <w:pPr>
        <w:ind w:left="2880" w:hanging="360"/>
      </w:pPr>
      <w:rPr>
        <w:rFonts w:ascii="Symbol" w:hAnsi="Symbol" w:hint="default"/>
      </w:rPr>
    </w:lvl>
    <w:lvl w:ilvl="4" w:tplc="85EC42BE">
      <w:start w:val="1"/>
      <w:numFmt w:val="bullet"/>
      <w:lvlText w:val="o"/>
      <w:lvlJc w:val="left"/>
      <w:pPr>
        <w:ind w:left="3600" w:hanging="360"/>
      </w:pPr>
      <w:rPr>
        <w:rFonts w:ascii="Courier New" w:hAnsi="Courier New" w:hint="default"/>
      </w:rPr>
    </w:lvl>
    <w:lvl w:ilvl="5" w:tplc="088892E8">
      <w:start w:val="1"/>
      <w:numFmt w:val="bullet"/>
      <w:lvlText w:val=""/>
      <w:lvlJc w:val="left"/>
      <w:pPr>
        <w:ind w:left="4320" w:hanging="360"/>
      </w:pPr>
      <w:rPr>
        <w:rFonts w:ascii="Wingdings" w:hAnsi="Wingdings" w:hint="default"/>
      </w:rPr>
    </w:lvl>
    <w:lvl w:ilvl="6" w:tplc="602E3FF6">
      <w:start w:val="1"/>
      <w:numFmt w:val="bullet"/>
      <w:lvlText w:val=""/>
      <w:lvlJc w:val="left"/>
      <w:pPr>
        <w:ind w:left="5040" w:hanging="360"/>
      </w:pPr>
      <w:rPr>
        <w:rFonts w:ascii="Symbol" w:hAnsi="Symbol" w:hint="default"/>
      </w:rPr>
    </w:lvl>
    <w:lvl w:ilvl="7" w:tplc="5564356A">
      <w:start w:val="1"/>
      <w:numFmt w:val="bullet"/>
      <w:lvlText w:val="o"/>
      <w:lvlJc w:val="left"/>
      <w:pPr>
        <w:ind w:left="5760" w:hanging="360"/>
      </w:pPr>
      <w:rPr>
        <w:rFonts w:ascii="Courier New" w:hAnsi="Courier New" w:hint="default"/>
      </w:rPr>
    </w:lvl>
    <w:lvl w:ilvl="8" w:tplc="76C629AE">
      <w:start w:val="1"/>
      <w:numFmt w:val="bullet"/>
      <w:lvlText w:val=""/>
      <w:lvlJc w:val="left"/>
      <w:pPr>
        <w:ind w:left="6480" w:hanging="360"/>
      </w:pPr>
      <w:rPr>
        <w:rFonts w:ascii="Wingdings" w:hAnsi="Wingdings" w:hint="default"/>
      </w:rPr>
    </w:lvl>
  </w:abstractNum>
  <w:abstractNum w:abstractNumId="37" w15:restartNumberingAfterBreak="0">
    <w:nsid w:val="7BFB1C32"/>
    <w:multiLevelType w:val="hybridMultilevel"/>
    <w:tmpl w:val="E7CC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A2924"/>
    <w:multiLevelType w:val="hybridMultilevel"/>
    <w:tmpl w:val="04E66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C40A50"/>
    <w:multiLevelType w:val="hybridMultilevel"/>
    <w:tmpl w:val="1A8E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196982">
    <w:abstractNumId w:val="18"/>
  </w:num>
  <w:num w:numId="2" w16cid:durableId="1005934836">
    <w:abstractNumId w:val="35"/>
  </w:num>
  <w:num w:numId="3" w16cid:durableId="120195903">
    <w:abstractNumId w:val="26"/>
  </w:num>
  <w:num w:numId="4" w16cid:durableId="2119444146">
    <w:abstractNumId w:val="30"/>
  </w:num>
  <w:num w:numId="5" w16cid:durableId="414398142">
    <w:abstractNumId w:val="17"/>
  </w:num>
  <w:num w:numId="6" w16cid:durableId="1040975411">
    <w:abstractNumId w:val="28"/>
  </w:num>
  <w:num w:numId="7" w16cid:durableId="1075518147">
    <w:abstractNumId w:val="38"/>
  </w:num>
  <w:num w:numId="8" w16cid:durableId="641272482">
    <w:abstractNumId w:val="13"/>
  </w:num>
  <w:num w:numId="9" w16cid:durableId="2099984059">
    <w:abstractNumId w:val="20"/>
  </w:num>
  <w:num w:numId="10" w16cid:durableId="594900873">
    <w:abstractNumId w:val="32"/>
  </w:num>
  <w:num w:numId="11" w16cid:durableId="819225729">
    <w:abstractNumId w:val="34"/>
  </w:num>
  <w:num w:numId="12" w16cid:durableId="1491679415">
    <w:abstractNumId w:val="4"/>
  </w:num>
  <w:num w:numId="13" w16cid:durableId="1599630966">
    <w:abstractNumId w:val="3"/>
  </w:num>
  <w:num w:numId="14" w16cid:durableId="1798722374">
    <w:abstractNumId w:val="33"/>
  </w:num>
  <w:num w:numId="15" w16cid:durableId="118186446">
    <w:abstractNumId w:val="12"/>
  </w:num>
  <w:num w:numId="16" w16cid:durableId="589702913">
    <w:abstractNumId w:val="22"/>
  </w:num>
  <w:num w:numId="17" w16cid:durableId="170799049">
    <w:abstractNumId w:val="14"/>
  </w:num>
  <w:num w:numId="18" w16cid:durableId="4095341">
    <w:abstractNumId w:val="8"/>
  </w:num>
  <w:num w:numId="19" w16cid:durableId="838547329">
    <w:abstractNumId w:val="23"/>
  </w:num>
  <w:num w:numId="20" w16cid:durableId="2013994086">
    <w:abstractNumId w:val="37"/>
  </w:num>
  <w:num w:numId="21" w16cid:durableId="1496872653">
    <w:abstractNumId w:val="25"/>
  </w:num>
  <w:num w:numId="22" w16cid:durableId="1882086342">
    <w:abstractNumId w:val="6"/>
  </w:num>
  <w:num w:numId="23" w16cid:durableId="210574610">
    <w:abstractNumId w:val="21"/>
  </w:num>
  <w:num w:numId="24" w16cid:durableId="681854679">
    <w:abstractNumId w:val="9"/>
  </w:num>
  <w:num w:numId="25" w16cid:durableId="1582182124">
    <w:abstractNumId w:val="29"/>
  </w:num>
  <w:num w:numId="26" w16cid:durableId="1068917065">
    <w:abstractNumId w:val="15"/>
  </w:num>
  <w:num w:numId="27" w16cid:durableId="51124971">
    <w:abstractNumId w:val="5"/>
  </w:num>
  <w:num w:numId="28" w16cid:durableId="989139359">
    <w:abstractNumId w:val="7"/>
  </w:num>
  <w:num w:numId="29" w16cid:durableId="1278098496">
    <w:abstractNumId w:val="39"/>
  </w:num>
  <w:num w:numId="30" w16cid:durableId="1337150563">
    <w:abstractNumId w:val="0"/>
  </w:num>
  <w:num w:numId="31" w16cid:durableId="53625349">
    <w:abstractNumId w:val="2"/>
  </w:num>
  <w:num w:numId="32" w16cid:durableId="570966032">
    <w:abstractNumId w:val="31"/>
  </w:num>
  <w:num w:numId="33" w16cid:durableId="102724912">
    <w:abstractNumId w:val="10"/>
  </w:num>
  <w:num w:numId="34" w16cid:durableId="1575159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6352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10799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3910327">
    <w:abstractNumId w:val="1"/>
  </w:num>
  <w:num w:numId="38" w16cid:durableId="313069707">
    <w:abstractNumId w:val="36"/>
  </w:num>
  <w:num w:numId="39" w16cid:durableId="837647862">
    <w:abstractNumId w:val="27"/>
  </w:num>
  <w:num w:numId="40" w16cid:durableId="11792778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73"/>
    <w:rsid w:val="000018A7"/>
    <w:rsid w:val="00001FDD"/>
    <w:rsid w:val="000039B3"/>
    <w:rsid w:val="00003E1A"/>
    <w:rsid w:val="00003E91"/>
    <w:rsid w:val="000052D2"/>
    <w:rsid w:val="00007E50"/>
    <w:rsid w:val="00011031"/>
    <w:rsid w:val="00026815"/>
    <w:rsid w:val="00030426"/>
    <w:rsid w:val="00053DAB"/>
    <w:rsid w:val="00054413"/>
    <w:rsid w:val="000576B0"/>
    <w:rsid w:val="000738F3"/>
    <w:rsid w:val="00073D3B"/>
    <w:rsid w:val="00074370"/>
    <w:rsid w:val="000857FF"/>
    <w:rsid w:val="000868AB"/>
    <w:rsid w:val="0009024C"/>
    <w:rsid w:val="000934D2"/>
    <w:rsid w:val="000A4D46"/>
    <w:rsid w:val="000A5365"/>
    <w:rsid w:val="000C5514"/>
    <w:rsid w:val="000D1FBB"/>
    <w:rsid w:val="000D5B4D"/>
    <w:rsid w:val="000E2A24"/>
    <w:rsid w:val="000F11D0"/>
    <w:rsid w:val="000F31C7"/>
    <w:rsid w:val="000F4874"/>
    <w:rsid w:val="001001B0"/>
    <w:rsid w:val="00100AA2"/>
    <w:rsid w:val="00107C73"/>
    <w:rsid w:val="00112DF4"/>
    <w:rsid w:val="00113A26"/>
    <w:rsid w:val="001156BF"/>
    <w:rsid w:val="00121246"/>
    <w:rsid w:val="001223AA"/>
    <w:rsid w:val="00125CAF"/>
    <w:rsid w:val="00132B07"/>
    <w:rsid w:val="00147C53"/>
    <w:rsid w:val="00166FC5"/>
    <w:rsid w:val="00170F7B"/>
    <w:rsid w:val="00175D4E"/>
    <w:rsid w:val="00177625"/>
    <w:rsid w:val="00180403"/>
    <w:rsid w:val="001806E2"/>
    <w:rsid w:val="00183DCE"/>
    <w:rsid w:val="00185B9B"/>
    <w:rsid w:val="00186708"/>
    <w:rsid w:val="00187816"/>
    <w:rsid w:val="00196CCC"/>
    <w:rsid w:val="001B0F80"/>
    <w:rsid w:val="001B630E"/>
    <w:rsid w:val="001C14C0"/>
    <w:rsid w:val="001C1CD1"/>
    <w:rsid w:val="001C597D"/>
    <w:rsid w:val="001D5AC7"/>
    <w:rsid w:val="001D6760"/>
    <w:rsid w:val="001E1D5E"/>
    <w:rsid w:val="001E1EC4"/>
    <w:rsid w:val="001E47D8"/>
    <w:rsid w:val="001F0174"/>
    <w:rsid w:val="001F23B8"/>
    <w:rsid w:val="001F3CE4"/>
    <w:rsid w:val="00201595"/>
    <w:rsid w:val="0020641F"/>
    <w:rsid w:val="002121DC"/>
    <w:rsid w:val="00215325"/>
    <w:rsid w:val="0021651A"/>
    <w:rsid w:val="00217241"/>
    <w:rsid w:val="002231D7"/>
    <w:rsid w:val="00230E14"/>
    <w:rsid w:val="00236FA7"/>
    <w:rsid w:val="0024716A"/>
    <w:rsid w:val="00251D8F"/>
    <w:rsid w:val="00256C42"/>
    <w:rsid w:val="00261075"/>
    <w:rsid w:val="002615FA"/>
    <w:rsid w:val="00264C6C"/>
    <w:rsid w:val="00275FD7"/>
    <w:rsid w:val="0028273A"/>
    <w:rsid w:val="002867EC"/>
    <w:rsid w:val="00287F2E"/>
    <w:rsid w:val="0029001A"/>
    <w:rsid w:val="00290A5B"/>
    <w:rsid w:val="00294386"/>
    <w:rsid w:val="002970F7"/>
    <w:rsid w:val="002B3960"/>
    <w:rsid w:val="002D71DE"/>
    <w:rsid w:val="002E04D4"/>
    <w:rsid w:val="00300C43"/>
    <w:rsid w:val="00301306"/>
    <w:rsid w:val="003033AB"/>
    <w:rsid w:val="0030360D"/>
    <w:rsid w:val="00307AB7"/>
    <w:rsid w:val="00315671"/>
    <w:rsid w:val="003171BE"/>
    <w:rsid w:val="00326F3C"/>
    <w:rsid w:val="00327078"/>
    <w:rsid w:val="003329C1"/>
    <w:rsid w:val="00333137"/>
    <w:rsid w:val="00335DBE"/>
    <w:rsid w:val="003431CC"/>
    <w:rsid w:val="003504FB"/>
    <w:rsid w:val="0035105C"/>
    <w:rsid w:val="0035269B"/>
    <w:rsid w:val="00353E5F"/>
    <w:rsid w:val="00354B0A"/>
    <w:rsid w:val="0036031F"/>
    <w:rsid w:val="003620DF"/>
    <w:rsid w:val="00366563"/>
    <w:rsid w:val="00381F1A"/>
    <w:rsid w:val="003849D9"/>
    <w:rsid w:val="003931D9"/>
    <w:rsid w:val="00394504"/>
    <w:rsid w:val="00394D99"/>
    <w:rsid w:val="003A2DDB"/>
    <w:rsid w:val="003A424E"/>
    <w:rsid w:val="003A6F23"/>
    <w:rsid w:val="003B3290"/>
    <w:rsid w:val="003C1ECE"/>
    <w:rsid w:val="003C2E10"/>
    <w:rsid w:val="003C4BCB"/>
    <w:rsid w:val="003D07E7"/>
    <w:rsid w:val="003D2BB7"/>
    <w:rsid w:val="003D3325"/>
    <w:rsid w:val="003D6E54"/>
    <w:rsid w:val="003E0756"/>
    <w:rsid w:val="003E2FD8"/>
    <w:rsid w:val="003F43B1"/>
    <w:rsid w:val="003F674C"/>
    <w:rsid w:val="00400755"/>
    <w:rsid w:val="00402E84"/>
    <w:rsid w:val="0040432E"/>
    <w:rsid w:val="004108D7"/>
    <w:rsid w:val="00434E94"/>
    <w:rsid w:val="0045251D"/>
    <w:rsid w:val="00457C19"/>
    <w:rsid w:val="00457CA4"/>
    <w:rsid w:val="00463AFF"/>
    <w:rsid w:val="004710E2"/>
    <w:rsid w:val="00472DEA"/>
    <w:rsid w:val="00475212"/>
    <w:rsid w:val="00475815"/>
    <w:rsid w:val="00480370"/>
    <w:rsid w:val="004861C2"/>
    <w:rsid w:val="00486613"/>
    <w:rsid w:val="004A56FC"/>
    <w:rsid w:val="004A585B"/>
    <w:rsid w:val="004B20BC"/>
    <w:rsid w:val="004B547D"/>
    <w:rsid w:val="004C5F27"/>
    <w:rsid w:val="004D15CC"/>
    <w:rsid w:val="004D1AD8"/>
    <w:rsid w:val="004D3FE7"/>
    <w:rsid w:val="004D4AB5"/>
    <w:rsid w:val="004D7549"/>
    <w:rsid w:val="004E1B57"/>
    <w:rsid w:val="004E1ED8"/>
    <w:rsid w:val="004E3820"/>
    <w:rsid w:val="004F7FD3"/>
    <w:rsid w:val="00510A3B"/>
    <w:rsid w:val="0051238B"/>
    <w:rsid w:val="00524230"/>
    <w:rsid w:val="00531A33"/>
    <w:rsid w:val="005348B9"/>
    <w:rsid w:val="00535285"/>
    <w:rsid w:val="0054290E"/>
    <w:rsid w:val="00551EE1"/>
    <w:rsid w:val="0055220D"/>
    <w:rsid w:val="005574B4"/>
    <w:rsid w:val="00560D71"/>
    <w:rsid w:val="00561901"/>
    <w:rsid w:val="00565C95"/>
    <w:rsid w:val="00566D89"/>
    <w:rsid w:val="00576D2E"/>
    <w:rsid w:val="00580769"/>
    <w:rsid w:val="00582485"/>
    <w:rsid w:val="005916C0"/>
    <w:rsid w:val="00591DA8"/>
    <w:rsid w:val="005A11FF"/>
    <w:rsid w:val="005A2362"/>
    <w:rsid w:val="005A60F8"/>
    <w:rsid w:val="005A6198"/>
    <w:rsid w:val="005B45D8"/>
    <w:rsid w:val="005B7467"/>
    <w:rsid w:val="005B7FE6"/>
    <w:rsid w:val="005C1642"/>
    <w:rsid w:val="005C497D"/>
    <w:rsid w:val="005C7638"/>
    <w:rsid w:val="005C78A9"/>
    <w:rsid w:val="005E5142"/>
    <w:rsid w:val="005F0BAD"/>
    <w:rsid w:val="005F13C6"/>
    <w:rsid w:val="005F64CC"/>
    <w:rsid w:val="006021EB"/>
    <w:rsid w:val="006073B7"/>
    <w:rsid w:val="00610069"/>
    <w:rsid w:val="00610448"/>
    <w:rsid w:val="00611EF1"/>
    <w:rsid w:val="0061236D"/>
    <w:rsid w:val="006135C6"/>
    <w:rsid w:val="00621C0F"/>
    <w:rsid w:val="00622224"/>
    <w:rsid w:val="00625A4C"/>
    <w:rsid w:val="00632641"/>
    <w:rsid w:val="00641027"/>
    <w:rsid w:val="00650254"/>
    <w:rsid w:val="00650F86"/>
    <w:rsid w:val="00655258"/>
    <w:rsid w:val="006602BE"/>
    <w:rsid w:val="00672515"/>
    <w:rsid w:val="006845E9"/>
    <w:rsid w:val="00690B17"/>
    <w:rsid w:val="00690D65"/>
    <w:rsid w:val="006A024E"/>
    <w:rsid w:val="006A32CF"/>
    <w:rsid w:val="006B35B8"/>
    <w:rsid w:val="006B6493"/>
    <w:rsid w:val="006C46AF"/>
    <w:rsid w:val="006C55DC"/>
    <w:rsid w:val="006D7667"/>
    <w:rsid w:val="006E093F"/>
    <w:rsid w:val="006E096C"/>
    <w:rsid w:val="006E09ED"/>
    <w:rsid w:val="006E1237"/>
    <w:rsid w:val="006E538B"/>
    <w:rsid w:val="006F0D5A"/>
    <w:rsid w:val="00700742"/>
    <w:rsid w:val="0070450C"/>
    <w:rsid w:val="00707870"/>
    <w:rsid w:val="00713579"/>
    <w:rsid w:val="007212F9"/>
    <w:rsid w:val="0072697A"/>
    <w:rsid w:val="00733429"/>
    <w:rsid w:val="00734C5F"/>
    <w:rsid w:val="007371F5"/>
    <w:rsid w:val="00741EB8"/>
    <w:rsid w:val="007423F7"/>
    <w:rsid w:val="00752CBD"/>
    <w:rsid w:val="0076221F"/>
    <w:rsid w:val="00763F79"/>
    <w:rsid w:val="007669AB"/>
    <w:rsid w:val="00771CA8"/>
    <w:rsid w:val="00777FC8"/>
    <w:rsid w:val="00783BAB"/>
    <w:rsid w:val="00786163"/>
    <w:rsid w:val="00786561"/>
    <w:rsid w:val="00793ECA"/>
    <w:rsid w:val="007974DD"/>
    <w:rsid w:val="007A4150"/>
    <w:rsid w:val="007B6B46"/>
    <w:rsid w:val="007D0754"/>
    <w:rsid w:val="007D0DA2"/>
    <w:rsid w:val="007E3861"/>
    <w:rsid w:val="007F769B"/>
    <w:rsid w:val="007F7FF9"/>
    <w:rsid w:val="008043F5"/>
    <w:rsid w:val="00807E1A"/>
    <w:rsid w:val="008132B8"/>
    <w:rsid w:val="008140B5"/>
    <w:rsid w:val="00823D93"/>
    <w:rsid w:val="00830C04"/>
    <w:rsid w:val="00847D01"/>
    <w:rsid w:val="00850E07"/>
    <w:rsid w:val="00854C81"/>
    <w:rsid w:val="00856E8A"/>
    <w:rsid w:val="00862FE3"/>
    <w:rsid w:val="00877A59"/>
    <w:rsid w:val="00880301"/>
    <w:rsid w:val="008904A9"/>
    <w:rsid w:val="00891C5F"/>
    <w:rsid w:val="008B5271"/>
    <w:rsid w:val="008C1CB3"/>
    <w:rsid w:val="008C3D8A"/>
    <w:rsid w:val="008D4A50"/>
    <w:rsid w:val="008E1EFD"/>
    <w:rsid w:val="008E3F7C"/>
    <w:rsid w:val="008E4009"/>
    <w:rsid w:val="008E4202"/>
    <w:rsid w:val="008E4B39"/>
    <w:rsid w:val="008F0B39"/>
    <w:rsid w:val="008F1F0A"/>
    <w:rsid w:val="008F5552"/>
    <w:rsid w:val="008F7788"/>
    <w:rsid w:val="00900A7A"/>
    <w:rsid w:val="00903EEF"/>
    <w:rsid w:val="0091095E"/>
    <w:rsid w:val="0091187C"/>
    <w:rsid w:val="00912C37"/>
    <w:rsid w:val="009142FF"/>
    <w:rsid w:val="00914583"/>
    <w:rsid w:val="00926DFE"/>
    <w:rsid w:val="009328C0"/>
    <w:rsid w:val="0093585B"/>
    <w:rsid w:val="0094704E"/>
    <w:rsid w:val="00947B11"/>
    <w:rsid w:val="0095134A"/>
    <w:rsid w:val="00951395"/>
    <w:rsid w:val="00952AC0"/>
    <w:rsid w:val="00961F1C"/>
    <w:rsid w:val="0096757B"/>
    <w:rsid w:val="00972C3A"/>
    <w:rsid w:val="00977485"/>
    <w:rsid w:val="00984B57"/>
    <w:rsid w:val="0098709C"/>
    <w:rsid w:val="00994A42"/>
    <w:rsid w:val="0099507B"/>
    <w:rsid w:val="009B309D"/>
    <w:rsid w:val="009B3AC3"/>
    <w:rsid w:val="009B3C89"/>
    <w:rsid w:val="009C0957"/>
    <w:rsid w:val="009C1C22"/>
    <w:rsid w:val="009C6602"/>
    <w:rsid w:val="009C755F"/>
    <w:rsid w:val="009D0240"/>
    <w:rsid w:val="009D1F5D"/>
    <w:rsid w:val="009D6F9D"/>
    <w:rsid w:val="009D70BC"/>
    <w:rsid w:val="009E1D6C"/>
    <w:rsid w:val="009E7761"/>
    <w:rsid w:val="009E7F21"/>
    <w:rsid w:val="009F033F"/>
    <w:rsid w:val="009F0DE8"/>
    <w:rsid w:val="00A012AE"/>
    <w:rsid w:val="00A12EC2"/>
    <w:rsid w:val="00A142DA"/>
    <w:rsid w:val="00A16A20"/>
    <w:rsid w:val="00A22FD7"/>
    <w:rsid w:val="00A23BB9"/>
    <w:rsid w:val="00A2529D"/>
    <w:rsid w:val="00A364A9"/>
    <w:rsid w:val="00A37A3F"/>
    <w:rsid w:val="00A44CAA"/>
    <w:rsid w:val="00A47DAE"/>
    <w:rsid w:val="00A50706"/>
    <w:rsid w:val="00A53997"/>
    <w:rsid w:val="00A57830"/>
    <w:rsid w:val="00A6036B"/>
    <w:rsid w:val="00A62932"/>
    <w:rsid w:val="00A71E28"/>
    <w:rsid w:val="00A7548F"/>
    <w:rsid w:val="00A8349B"/>
    <w:rsid w:val="00A9146C"/>
    <w:rsid w:val="00A91ED4"/>
    <w:rsid w:val="00A9367B"/>
    <w:rsid w:val="00A940D3"/>
    <w:rsid w:val="00A95A12"/>
    <w:rsid w:val="00A97015"/>
    <w:rsid w:val="00AA51F7"/>
    <w:rsid w:val="00AB0DB3"/>
    <w:rsid w:val="00AB1758"/>
    <w:rsid w:val="00AB24B7"/>
    <w:rsid w:val="00AB6EEF"/>
    <w:rsid w:val="00AB74A3"/>
    <w:rsid w:val="00AC012F"/>
    <w:rsid w:val="00AC3BD4"/>
    <w:rsid w:val="00AD7F80"/>
    <w:rsid w:val="00AF485D"/>
    <w:rsid w:val="00AF48D1"/>
    <w:rsid w:val="00AF50B3"/>
    <w:rsid w:val="00B12E8A"/>
    <w:rsid w:val="00B16C2B"/>
    <w:rsid w:val="00B16F72"/>
    <w:rsid w:val="00B23453"/>
    <w:rsid w:val="00B2624B"/>
    <w:rsid w:val="00B273B8"/>
    <w:rsid w:val="00B305F0"/>
    <w:rsid w:val="00B3211F"/>
    <w:rsid w:val="00B34B78"/>
    <w:rsid w:val="00B36B9C"/>
    <w:rsid w:val="00B44681"/>
    <w:rsid w:val="00B51125"/>
    <w:rsid w:val="00B615B4"/>
    <w:rsid w:val="00B72C5C"/>
    <w:rsid w:val="00B80A60"/>
    <w:rsid w:val="00B82049"/>
    <w:rsid w:val="00B85F9D"/>
    <w:rsid w:val="00B870EB"/>
    <w:rsid w:val="00B9087F"/>
    <w:rsid w:val="00B9329A"/>
    <w:rsid w:val="00B94B23"/>
    <w:rsid w:val="00B95CED"/>
    <w:rsid w:val="00B95DB6"/>
    <w:rsid w:val="00B97913"/>
    <w:rsid w:val="00BA2C9C"/>
    <w:rsid w:val="00BB3CFD"/>
    <w:rsid w:val="00BB68F2"/>
    <w:rsid w:val="00BC1986"/>
    <w:rsid w:val="00BC7063"/>
    <w:rsid w:val="00BD6BAF"/>
    <w:rsid w:val="00BD76FC"/>
    <w:rsid w:val="00BE7946"/>
    <w:rsid w:val="00BF796F"/>
    <w:rsid w:val="00C0367C"/>
    <w:rsid w:val="00C154F6"/>
    <w:rsid w:val="00C168C1"/>
    <w:rsid w:val="00C16D79"/>
    <w:rsid w:val="00C239D9"/>
    <w:rsid w:val="00C260EB"/>
    <w:rsid w:val="00C44DE3"/>
    <w:rsid w:val="00C46B0B"/>
    <w:rsid w:val="00C5415C"/>
    <w:rsid w:val="00C5677F"/>
    <w:rsid w:val="00C60457"/>
    <w:rsid w:val="00C64493"/>
    <w:rsid w:val="00C64D69"/>
    <w:rsid w:val="00C67BCB"/>
    <w:rsid w:val="00C722D2"/>
    <w:rsid w:val="00C7252B"/>
    <w:rsid w:val="00C83AAF"/>
    <w:rsid w:val="00C9646E"/>
    <w:rsid w:val="00CA04CF"/>
    <w:rsid w:val="00CB005B"/>
    <w:rsid w:val="00CB0BF8"/>
    <w:rsid w:val="00CC06E5"/>
    <w:rsid w:val="00CD3281"/>
    <w:rsid w:val="00CE6A35"/>
    <w:rsid w:val="00CF3068"/>
    <w:rsid w:val="00CF5736"/>
    <w:rsid w:val="00D00499"/>
    <w:rsid w:val="00D032E1"/>
    <w:rsid w:val="00D10481"/>
    <w:rsid w:val="00D106E8"/>
    <w:rsid w:val="00D108A6"/>
    <w:rsid w:val="00D13246"/>
    <w:rsid w:val="00D2185D"/>
    <w:rsid w:val="00D245B4"/>
    <w:rsid w:val="00D25733"/>
    <w:rsid w:val="00D319F2"/>
    <w:rsid w:val="00D346EE"/>
    <w:rsid w:val="00D34CBD"/>
    <w:rsid w:val="00D34FB7"/>
    <w:rsid w:val="00D363FE"/>
    <w:rsid w:val="00D430D9"/>
    <w:rsid w:val="00D462D7"/>
    <w:rsid w:val="00D4757C"/>
    <w:rsid w:val="00D50CF3"/>
    <w:rsid w:val="00D52D34"/>
    <w:rsid w:val="00D62171"/>
    <w:rsid w:val="00D623D6"/>
    <w:rsid w:val="00D62CCF"/>
    <w:rsid w:val="00D64240"/>
    <w:rsid w:val="00D8562B"/>
    <w:rsid w:val="00D85755"/>
    <w:rsid w:val="00D8795F"/>
    <w:rsid w:val="00D930B7"/>
    <w:rsid w:val="00D97069"/>
    <w:rsid w:val="00DA71A8"/>
    <w:rsid w:val="00DB0CF9"/>
    <w:rsid w:val="00DB1757"/>
    <w:rsid w:val="00DC1D97"/>
    <w:rsid w:val="00DD543C"/>
    <w:rsid w:val="00DD7E0D"/>
    <w:rsid w:val="00DE1F07"/>
    <w:rsid w:val="00DE287D"/>
    <w:rsid w:val="00DE557F"/>
    <w:rsid w:val="00DE6661"/>
    <w:rsid w:val="00DF1495"/>
    <w:rsid w:val="00DF3CDC"/>
    <w:rsid w:val="00E021E8"/>
    <w:rsid w:val="00E11EE2"/>
    <w:rsid w:val="00E25176"/>
    <w:rsid w:val="00E318DD"/>
    <w:rsid w:val="00E31969"/>
    <w:rsid w:val="00E3687C"/>
    <w:rsid w:val="00E42AE7"/>
    <w:rsid w:val="00E433F2"/>
    <w:rsid w:val="00E43CB0"/>
    <w:rsid w:val="00E4552F"/>
    <w:rsid w:val="00E543CD"/>
    <w:rsid w:val="00E551CC"/>
    <w:rsid w:val="00E70D08"/>
    <w:rsid w:val="00E777AB"/>
    <w:rsid w:val="00E77BBB"/>
    <w:rsid w:val="00E815C1"/>
    <w:rsid w:val="00E84805"/>
    <w:rsid w:val="00E93AFB"/>
    <w:rsid w:val="00EB2C3A"/>
    <w:rsid w:val="00EB3B66"/>
    <w:rsid w:val="00EB46E7"/>
    <w:rsid w:val="00EB6A04"/>
    <w:rsid w:val="00EC4A30"/>
    <w:rsid w:val="00EC61D7"/>
    <w:rsid w:val="00ED12BC"/>
    <w:rsid w:val="00ED21AA"/>
    <w:rsid w:val="00ED4811"/>
    <w:rsid w:val="00EE1895"/>
    <w:rsid w:val="00EE1BF9"/>
    <w:rsid w:val="00EE2512"/>
    <w:rsid w:val="00EE5826"/>
    <w:rsid w:val="00EF279E"/>
    <w:rsid w:val="00EF5253"/>
    <w:rsid w:val="00EF57C0"/>
    <w:rsid w:val="00EF6130"/>
    <w:rsid w:val="00F02461"/>
    <w:rsid w:val="00F179CD"/>
    <w:rsid w:val="00F43867"/>
    <w:rsid w:val="00F441E3"/>
    <w:rsid w:val="00F45FEA"/>
    <w:rsid w:val="00F517FA"/>
    <w:rsid w:val="00F53EC1"/>
    <w:rsid w:val="00F60C3C"/>
    <w:rsid w:val="00F64F72"/>
    <w:rsid w:val="00F67656"/>
    <w:rsid w:val="00F70B08"/>
    <w:rsid w:val="00F712A0"/>
    <w:rsid w:val="00F75C04"/>
    <w:rsid w:val="00F85F3A"/>
    <w:rsid w:val="00F92C4B"/>
    <w:rsid w:val="00FA2371"/>
    <w:rsid w:val="00FA5D23"/>
    <w:rsid w:val="00FB0379"/>
    <w:rsid w:val="00FB5824"/>
    <w:rsid w:val="00FC1070"/>
    <w:rsid w:val="00FC1BFA"/>
    <w:rsid w:val="00FC5904"/>
    <w:rsid w:val="00FD0CEC"/>
    <w:rsid w:val="00FD453C"/>
    <w:rsid w:val="00FD4DAE"/>
    <w:rsid w:val="00FD5EA2"/>
    <w:rsid w:val="00FE169E"/>
    <w:rsid w:val="00FE30A4"/>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2FEE9"/>
  <w15:chartTrackingRefBased/>
  <w15:docId w15:val="{2825106A-949F-4AED-AE39-F56525E1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E1D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D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D5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7D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7DA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C55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WATitle">
    <w:name w:val="FHWA Title"/>
    <w:basedOn w:val="Heading1"/>
    <w:qFormat/>
    <w:rsid w:val="001E1D5E"/>
    <w:rPr>
      <w:rFonts w:ascii="Calibri" w:eastAsia="Times New Roman" w:hAnsi="Calibri" w:cs="Calibri"/>
      <w:color w:val="194178"/>
      <w:sz w:val="44"/>
      <w:szCs w:val="44"/>
    </w:rPr>
  </w:style>
  <w:style w:type="paragraph" w:customStyle="1" w:styleId="FHWASubtitle">
    <w:name w:val="FHWA Subtitle"/>
    <w:basedOn w:val="Heading2"/>
    <w:qFormat/>
    <w:rsid w:val="00C722D2"/>
    <w:rPr>
      <w:rFonts w:ascii="Arial" w:eastAsia="Times New Roman" w:hAnsi="Arial" w:cs="Arial"/>
      <w:b/>
      <w:bCs/>
      <w:color w:val="4472C4" w:themeColor="accent1"/>
      <w:sz w:val="34"/>
      <w:szCs w:val="34"/>
    </w:rPr>
  </w:style>
  <w:style w:type="paragraph" w:customStyle="1" w:styleId="FHWAParagraghHeading">
    <w:name w:val="FHWA Paragragh Heading"/>
    <w:basedOn w:val="Heading3"/>
    <w:qFormat/>
    <w:rsid w:val="00457CA4"/>
    <w:rPr>
      <w:rFonts w:ascii="Arial" w:eastAsia="Times New Roman" w:hAnsi="Arial" w:cs="Arial"/>
      <w:b/>
      <w:bCs/>
      <w:color w:val="385623"/>
    </w:rPr>
  </w:style>
  <w:style w:type="paragraph" w:customStyle="1" w:styleId="Style1">
    <w:name w:val="Style1"/>
    <w:basedOn w:val="Normal"/>
    <w:qFormat/>
    <w:rsid w:val="001E1D5E"/>
    <w:rPr>
      <w:rFonts w:ascii="Arial" w:hAnsi="Arial" w:cs="Arial"/>
      <w:color w:val="212529"/>
    </w:rPr>
  </w:style>
  <w:style w:type="character" w:customStyle="1" w:styleId="Heading1Char">
    <w:name w:val="Heading 1 Char"/>
    <w:basedOn w:val="DefaultParagraphFont"/>
    <w:link w:val="Heading1"/>
    <w:uiPriority w:val="9"/>
    <w:rsid w:val="001E1D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1D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D5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07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73"/>
    <w:rPr>
      <w:rFonts w:ascii="Segoe UI" w:hAnsi="Segoe UI" w:cs="Segoe UI"/>
      <w:sz w:val="18"/>
      <w:szCs w:val="18"/>
    </w:rPr>
  </w:style>
  <w:style w:type="paragraph" w:styleId="BodyText">
    <w:name w:val="Body Text"/>
    <w:basedOn w:val="Normal"/>
    <w:link w:val="BodyTextChar"/>
    <w:uiPriority w:val="1"/>
    <w:qFormat/>
    <w:rsid w:val="00107C73"/>
    <w:rPr>
      <w:sz w:val="24"/>
      <w:szCs w:val="24"/>
    </w:rPr>
  </w:style>
  <w:style w:type="character" w:customStyle="1" w:styleId="BodyTextChar">
    <w:name w:val="Body Text Char"/>
    <w:basedOn w:val="DefaultParagraphFont"/>
    <w:link w:val="BodyText"/>
    <w:uiPriority w:val="1"/>
    <w:rsid w:val="00107C7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07C73"/>
    <w:pPr>
      <w:ind w:left="1660" w:hanging="360"/>
    </w:pPr>
  </w:style>
  <w:style w:type="character" w:customStyle="1" w:styleId="ListParagraphChar">
    <w:name w:val="List Paragraph Char"/>
    <w:link w:val="ListParagraph"/>
    <w:uiPriority w:val="34"/>
    <w:locked/>
    <w:rsid w:val="00107C7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07C73"/>
    <w:rPr>
      <w:sz w:val="16"/>
      <w:szCs w:val="16"/>
    </w:rPr>
  </w:style>
  <w:style w:type="paragraph" w:styleId="CommentText">
    <w:name w:val="annotation text"/>
    <w:basedOn w:val="Normal"/>
    <w:link w:val="CommentTextChar"/>
    <w:uiPriority w:val="99"/>
    <w:unhideWhenUsed/>
    <w:rsid w:val="00107C73"/>
    <w:rPr>
      <w:sz w:val="20"/>
      <w:szCs w:val="20"/>
    </w:rPr>
  </w:style>
  <w:style w:type="character" w:customStyle="1" w:styleId="CommentTextChar">
    <w:name w:val="Comment Text Char"/>
    <w:basedOn w:val="DefaultParagraphFont"/>
    <w:link w:val="CommentText"/>
    <w:uiPriority w:val="99"/>
    <w:rsid w:val="00107C7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7C73"/>
    <w:pPr>
      <w:tabs>
        <w:tab w:val="center" w:pos="4680"/>
        <w:tab w:val="right" w:pos="9360"/>
      </w:tabs>
    </w:pPr>
  </w:style>
  <w:style w:type="character" w:customStyle="1" w:styleId="HeaderChar">
    <w:name w:val="Header Char"/>
    <w:basedOn w:val="DefaultParagraphFont"/>
    <w:link w:val="Header"/>
    <w:uiPriority w:val="99"/>
    <w:rsid w:val="00107C73"/>
    <w:rPr>
      <w:rFonts w:ascii="Times New Roman" w:eastAsia="Times New Roman" w:hAnsi="Times New Roman" w:cs="Times New Roman"/>
    </w:rPr>
  </w:style>
  <w:style w:type="paragraph" w:styleId="Footer">
    <w:name w:val="footer"/>
    <w:basedOn w:val="Normal"/>
    <w:link w:val="FooterChar"/>
    <w:uiPriority w:val="99"/>
    <w:unhideWhenUsed/>
    <w:rsid w:val="00107C73"/>
    <w:pPr>
      <w:tabs>
        <w:tab w:val="center" w:pos="4680"/>
        <w:tab w:val="right" w:pos="9360"/>
      </w:tabs>
    </w:pPr>
  </w:style>
  <w:style w:type="character" w:customStyle="1" w:styleId="FooterChar">
    <w:name w:val="Footer Char"/>
    <w:basedOn w:val="DefaultParagraphFont"/>
    <w:link w:val="Footer"/>
    <w:uiPriority w:val="99"/>
    <w:rsid w:val="00107C73"/>
    <w:rPr>
      <w:rFonts w:ascii="Times New Roman" w:eastAsia="Times New Roman" w:hAnsi="Times New Roman" w:cs="Times New Roman"/>
    </w:rPr>
  </w:style>
  <w:style w:type="paragraph" w:styleId="NormalWeb">
    <w:name w:val="Normal (Web)"/>
    <w:basedOn w:val="Normal"/>
    <w:uiPriority w:val="99"/>
    <w:unhideWhenUsed/>
    <w:rsid w:val="00C5415C"/>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C5415C"/>
    <w:rPr>
      <w:b/>
      <w:bCs/>
    </w:rPr>
  </w:style>
  <w:style w:type="paragraph" w:styleId="TOCHeading">
    <w:name w:val="TOC Heading"/>
    <w:basedOn w:val="Heading1"/>
    <w:next w:val="Normal"/>
    <w:uiPriority w:val="39"/>
    <w:unhideWhenUsed/>
    <w:qFormat/>
    <w:rsid w:val="00333137"/>
    <w:pPr>
      <w:widowControl/>
      <w:autoSpaceDE/>
      <w:autoSpaceDN/>
      <w:spacing w:line="259" w:lineRule="auto"/>
      <w:outlineLvl w:val="9"/>
    </w:pPr>
  </w:style>
  <w:style w:type="paragraph" w:styleId="TOC2">
    <w:name w:val="toc 2"/>
    <w:basedOn w:val="Normal"/>
    <w:next w:val="Normal"/>
    <w:autoRedefine/>
    <w:uiPriority w:val="39"/>
    <w:unhideWhenUsed/>
    <w:rsid w:val="00333137"/>
    <w:pPr>
      <w:spacing w:after="100"/>
      <w:ind w:left="220"/>
    </w:pPr>
  </w:style>
  <w:style w:type="paragraph" w:styleId="TOC1">
    <w:name w:val="toc 1"/>
    <w:basedOn w:val="Normal"/>
    <w:next w:val="Normal"/>
    <w:autoRedefine/>
    <w:uiPriority w:val="39"/>
    <w:unhideWhenUsed/>
    <w:rsid w:val="00333137"/>
    <w:pPr>
      <w:spacing w:after="100"/>
    </w:pPr>
  </w:style>
  <w:style w:type="paragraph" w:styleId="TOC3">
    <w:name w:val="toc 3"/>
    <w:basedOn w:val="Normal"/>
    <w:next w:val="Normal"/>
    <w:autoRedefine/>
    <w:uiPriority w:val="39"/>
    <w:unhideWhenUsed/>
    <w:rsid w:val="00333137"/>
    <w:pPr>
      <w:spacing w:after="100"/>
      <w:ind w:left="440"/>
    </w:pPr>
  </w:style>
  <w:style w:type="paragraph" w:styleId="TOC4">
    <w:name w:val="toc 4"/>
    <w:basedOn w:val="Normal"/>
    <w:next w:val="Normal"/>
    <w:autoRedefine/>
    <w:uiPriority w:val="39"/>
    <w:unhideWhenUsed/>
    <w:rsid w:val="00333137"/>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33137"/>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33137"/>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33137"/>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33137"/>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33137"/>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333137"/>
    <w:rPr>
      <w:color w:val="0563C1" w:themeColor="hyperlink"/>
      <w:u w:val="single"/>
    </w:rPr>
  </w:style>
  <w:style w:type="character" w:styleId="UnresolvedMention">
    <w:name w:val="Unresolved Mention"/>
    <w:basedOn w:val="DefaultParagraphFont"/>
    <w:uiPriority w:val="99"/>
    <w:semiHidden/>
    <w:unhideWhenUsed/>
    <w:rsid w:val="00333137"/>
    <w:rPr>
      <w:color w:val="605E5C"/>
      <w:shd w:val="clear" w:color="auto" w:fill="E1DFDD"/>
    </w:rPr>
  </w:style>
  <w:style w:type="character" w:customStyle="1" w:styleId="Heading4Char">
    <w:name w:val="Heading 4 Char"/>
    <w:basedOn w:val="DefaultParagraphFont"/>
    <w:link w:val="Heading4"/>
    <w:uiPriority w:val="9"/>
    <w:rsid w:val="00A47D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7D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C5514"/>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F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52F"/>
    <w:rPr>
      <w:b/>
      <w:bCs/>
    </w:rPr>
  </w:style>
  <w:style w:type="character" w:customStyle="1" w:styleId="CommentSubjectChar">
    <w:name w:val="Comment Subject Char"/>
    <w:basedOn w:val="CommentTextChar"/>
    <w:link w:val="CommentSubject"/>
    <w:uiPriority w:val="99"/>
    <w:semiHidden/>
    <w:rsid w:val="00E4552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72DEA"/>
    <w:rPr>
      <w:sz w:val="20"/>
      <w:szCs w:val="20"/>
    </w:rPr>
  </w:style>
  <w:style w:type="character" w:customStyle="1" w:styleId="FootnoteTextChar">
    <w:name w:val="Footnote Text Char"/>
    <w:basedOn w:val="DefaultParagraphFont"/>
    <w:link w:val="FootnoteText"/>
    <w:uiPriority w:val="99"/>
    <w:semiHidden/>
    <w:rsid w:val="00472D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2DEA"/>
    <w:rPr>
      <w:vertAlign w:val="superscript"/>
    </w:rPr>
  </w:style>
  <w:style w:type="paragraph" w:styleId="Revision">
    <w:name w:val="Revision"/>
    <w:hidden/>
    <w:uiPriority w:val="99"/>
    <w:semiHidden/>
    <w:rsid w:val="008C3D8A"/>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85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2309">
      <w:bodyDiv w:val="1"/>
      <w:marLeft w:val="0"/>
      <w:marRight w:val="0"/>
      <w:marTop w:val="0"/>
      <w:marBottom w:val="0"/>
      <w:divBdr>
        <w:top w:val="none" w:sz="0" w:space="0" w:color="auto"/>
        <w:left w:val="none" w:sz="0" w:space="0" w:color="auto"/>
        <w:bottom w:val="none" w:sz="0" w:space="0" w:color="auto"/>
        <w:right w:val="none" w:sz="0" w:space="0" w:color="auto"/>
      </w:divBdr>
    </w:div>
    <w:div w:id="352849903">
      <w:bodyDiv w:val="1"/>
      <w:marLeft w:val="0"/>
      <w:marRight w:val="0"/>
      <w:marTop w:val="0"/>
      <w:marBottom w:val="0"/>
      <w:divBdr>
        <w:top w:val="none" w:sz="0" w:space="0" w:color="auto"/>
        <w:left w:val="none" w:sz="0" w:space="0" w:color="auto"/>
        <w:bottom w:val="none" w:sz="0" w:space="0" w:color="auto"/>
        <w:right w:val="none" w:sz="0" w:space="0" w:color="auto"/>
      </w:divBdr>
    </w:div>
    <w:div w:id="647324641">
      <w:bodyDiv w:val="1"/>
      <w:marLeft w:val="0"/>
      <w:marRight w:val="0"/>
      <w:marTop w:val="0"/>
      <w:marBottom w:val="0"/>
      <w:divBdr>
        <w:top w:val="none" w:sz="0" w:space="0" w:color="auto"/>
        <w:left w:val="none" w:sz="0" w:space="0" w:color="auto"/>
        <w:bottom w:val="none" w:sz="0" w:space="0" w:color="auto"/>
        <w:right w:val="none" w:sz="0" w:space="0" w:color="auto"/>
      </w:divBdr>
    </w:div>
    <w:div w:id="1023096972">
      <w:bodyDiv w:val="1"/>
      <w:marLeft w:val="0"/>
      <w:marRight w:val="0"/>
      <w:marTop w:val="0"/>
      <w:marBottom w:val="0"/>
      <w:divBdr>
        <w:top w:val="none" w:sz="0" w:space="0" w:color="auto"/>
        <w:left w:val="none" w:sz="0" w:space="0" w:color="auto"/>
        <w:bottom w:val="none" w:sz="0" w:space="0" w:color="auto"/>
        <w:right w:val="none" w:sz="0" w:space="0" w:color="auto"/>
      </w:divBdr>
    </w:div>
    <w:div w:id="1190603012">
      <w:bodyDiv w:val="1"/>
      <w:marLeft w:val="0"/>
      <w:marRight w:val="0"/>
      <w:marTop w:val="0"/>
      <w:marBottom w:val="0"/>
      <w:divBdr>
        <w:top w:val="none" w:sz="0" w:space="0" w:color="auto"/>
        <w:left w:val="none" w:sz="0" w:space="0" w:color="auto"/>
        <w:bottom w:val="none" w:sz="0" w:space="0" w:color="auto"/>
        <w:right w:val="none" w:sz="0" w:space="0" w:color="auto"/>
      </w:divBdr>
    </w:div>
    <w:div w:id="1385105151">
      <w:bodyDiv w:val="1"/>
      <w:marLeft w:val="0"/>
      <w:marRight w:val="0"/>
      <w:marTop w:val="0"/>
      <w:marBottom w:val="0"/>
      <w:divBdr>
        <w:top w:val="none" w:sz="0" w:space="0" w:color="auto"/>
        <w:left w:val="none" w:sz="0" w:space="0" w:color="auto"/>
        <w:bottom w:val="none" w:sz="0" w:space="0" w:color="auto"/>
        <w:right w:val="none" w:sz="0" w:space="0" w:color="auto"/>
      </w:divBdr>
    </w:div>
    <w:div w:id="16450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3/chapter-I/subchapter-G/part-6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23/chapter-I/subchapter-G/part-6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3/chapter-I/subchapter-G/part-680" TargetMode="External"/><Relationship Id="rId5" Type="http://schemas.openxmlformats.org/officeDocument/2006/relationships/numbering" Target="numbering.xml"/><Relationship Id="rId15" Type="http://schemas.openxmlformats.org/officeDocument/2006/relationships/hyperlink" Target="https://www.ecfr.gov/current/title-23/chapter-I/subchapter-G/part-68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3/chapter-I/subchapter-G/part-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1b4f7a-9ef8-4a9f-89de-7eb5dcf7a11e">
      <Terms xmlns="http://schemas.microsoft.com/office/infopath/2007/PartnerControls"/>
    </lcf76f155ced4ddcb4097134ff3c332f>
    <TaxCatchAll xmlns="a4932b09-c32f-42b1-bb63-8a653c87ea4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FAC2EBEC85CC4BAF5EA1A471205E37" ma:contentTypeVersion="12" ma:contentTypeDescription="Create a new document." ma:contentTypeScope="" ma:versionID="a0f9c4609355874146bcf648d0b8e415">
  <xsd:schema xmlns:xsd="http://www.w3.org/2001/XMLSchema" xmlns:xs="http://www.w3.org/2001/XMLSchema" xmlns:p="http://schemas.microsoft.com/office/2006/metadata/properties" xmlns:ns2="bb1b4f7a-9ef8-4a9f-89de-7eb5dcf7a11e" xmlns:ns3="a4932b09-c32f-42b1-bb63-8a653c87ea46" targetNamespace="http://schemas.microsoft.com/office/2006/metadata/properties" ma:root="true" ma:fieldsID="a2b21a40db139637bfc67cabcb4a17c6" ns2:_="" ns3:_="">
    <xsd:import namespace="bb1b4f7a-9ef8-4a9f-89de-7eb5dcf7a11e"/>
    <xsd:import namespace="a4932b09-c32f-42b1-bb63-8a653c87ea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b4f7a-9ef8-4a9f-89de-7eb5dcf7a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32b09-c32f-42b1-bb63-8a653c87ea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0583990-350d-4dcb-adb1-9cb0f3aed996}" ma:internalName="TaxCatchAll" ma:showField="CatchAllData" ma:web="a4932b09-c32f-42b1-bb63-8a653c87ea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2E521-89DE-4043-ACB9-8BC3D3FAB3B0}">
  <ds:schemaRefs>
    <ds:schemaRef ds:uri="http://schemas.microsoft.com/office/2006/metadata/properties"/>
    <ds:schemaRef ds:uri="http://schemas.microsoft.com/office/infopath/2007/PartnerControls"/>
    <ds:schemaRef ds:uri="bb1b4f7a-9ef8-4a9f-89de-7eb5dcf7a11e"/>
    <ds:schemaRef ds:uri="a4932b09-c32f-42b1-bb63-8a653c87ea46"/>
  </ds:schemaRefs>
</ds:datastoreItem>
</file>

<file path=customXml/itemProps2.xml><?xml version="1.0" encoding="utf-8"?>
<ds:datastoreItem xmlns:ds="http://schemas.openxmlformats.org/officeDocument/2006/customXml" ds:itemID="{70DF8B73-72FD-406D-BFC2-A79BEA7FD6C2}">
  <ds:schemaRefs>
    <ds:schemaRef ds:uri="http://schemas.openxmlformats.org/officeDocument/2006/bibliography"/>
  </ds:schemaRefs>
</ds:datastoreItem>
</file>

<file path=customXml/itemProps3.xml><?xml version="1.0" encoding="utf-8"?>
<ds:datastoreItem xmlns:ds="http://schemas.openxmlformats.org/officeDocument/2006/customXml" ds:itemID="{E64C13A7-E6EA-4DEF-A48D-2EA2D08F7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b4f7a-9ef8-4a9f-89de-7eb5dcf7a11e"/>
    <ds:schemaRef ds:uri="a4932b09-c32f-42b1-bb63-8a653c87e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A1292-6FF3-410A-9EBC-624F3879F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2349</Words>
  <Characters>14091</Characters>
  <Application>Microsoft Office Word</Application>
  <DocSecurity>0</DocSecurity>
  <Lines>419</Lines>
  <Paragraphs>113</Paragraphs>
  <ScaleCrop>false</ScaleCrop>
  <HeadingPairs>
    <vt:vector size="2" baseType="variant">
      <vt:variant>
        <vt:lpstr>Title</vt:lpstr>
      </vt:variant>
      <vt:variant>
        <vt:i4>1</vt:i4>
      </vt:variant>
    </vt:vector>
  </HeadingPairs>
  <TitlesOfParts>
    <vt:vector size="1" baseType="lpstr">
      <vt:lpstr>State Plan/State Plan Update for Electric Vehicle (EV) Infrastructure Deployment</vt:lpstr>
    </vt:vector>
  </TitlesOfParts>
  <Manager/>
  <Company/>
  <LinksUpToDate>false</LinksUpToDate>
  <CharactersWithSpaces>16391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Plan/State Plan Update for Electric Vehicle (EV) Infrastructure Deployment</dc:title>
  <dc:subject>Use this template to create or update a state plan for the National Electric Vehicle Infrastructure Formula Program.</dc:subject>
  <dc:creator>FHWA</dc:creator>
  <cp:keywords>NEVI, Electric vehicle, EV, EVSE, NEVI Formula Program, NEVI State Plan, NEVI State Plan Template</cp:keywords>
  <dc:description/>
  <cp:lastModifiedBy>Rahill, Matt</cp:lastModifiedBy>
  <cp:revision>8</cp:revision>
  <dcterms:created xsi:type="dcterms:W3CDTF">2023-05-31T21:45:00Z</dcterms:created>
  <dcterms:modified xsi:type="dcterms:W3CDTF">2023-06-06T19:18:00Z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0x0101009CFAC2EBEC85CC4BAF5EA1A471205E37</vt:lpwstr>
  </property>
  <property fmtid="{D5CDD505-2E9C-101B-9397-08002B2CF9AE}" pid="3" name="MediaServiceImageTags">
    <vt:lpwstr/>
  </property>
</Properties>
</file>